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0DA" w:rsidRPr="005833AE" w:rsidRDefault="005D50DA" w:rsidP="005D50DA">
      <w:pPr>
        <w:widowControl w:val="0"/>
        <w:adjustRightInd/>
        <w:snapToGrid/>
        <w:spacing w:after="0" w:line="360" w:lineRule="auto"/>
        <w:jc w:val="both"/>
        <w:rPr>
          <w:rFonts w:ascii="宋体" w:eastAsia="宋体" w:hAnsi="宋体" w:cs="宋体"/>
          <w:b/>
          <w:bCs/>
          <w:kern w:val="2"/>
          <w:sz w:val="24"/>
          <w:szCs w:val="24"/>
        </w:rPr>
      </w:pPr>
      <w:bookmarkStart w:id="0" w:name="_GoBack"/>
      <w:bookmarkEnd w:id="0"/>
      <w:r w:rsidRPr="005833AE">
        <w:rPr>
          <w:rFonts w:ascii="宋体" w:eastAsia="宋体" w:hAnsi="宋体" w:cs="宋体" w:hint="eastAsia"/>
          <w:b/>
          <w:kern w:val="2"/>
          <w:sz w:val="24"/>
          <w:szCs w:val="24"/>
        </w:rPr>
        <w:t>一、项目名称（附带WBS编号）：</w:t>
      </w:r>
      <w:r w:rsidRPr="005833AE">
        <w:rPr>
          <w:rFonts w:ascii="宋体" w:eastAsia="宋体" w:hAnsi="宋体" w:cs="宋体" w:hint="eastAsia"/>
          <w:b/>
          <w:bCs/>
          <w:kern w:val="2"/>
          <w:sz w:val="24"/>
          <w:szCs w:val="24"/>
        </w:rPr>
        <w:t xml:space="preserve"> 低能加速器辐射防护系统 SESRI.0.4.2</w:t>
      </w:r>
    </w:p>
    <w:p w:rsidR="005D50DA" w:rsidRPr="005833AE" w:rsidRDefault="005D50DA" w:rsidP="005D50DA">
      <w:pPr>
        <w:widowControl w:val="0"/>
        <w:adjustRightInd/>
        <w:snapToGrid/>
        <w:spacing w:after="0" w:line="360" w:lineRule="auto"/>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二、招标数量:1套</w:t>
      </w:r>
    </w:p>
    <w:p w:rsidR="005D50DA" w:rsidRPr="005833AE" w:rsidRDefault="005D50DA" w:rsidP="005D50DA">
      <w:pPr>
        <w:widowControl w:val="0"/>
        <w:adjustRightInd/>
        <w:snapToGrid/>
        <w:spacing w:after="0" w:line="360" w:lineRule="auto"/>
        <w:jc w:val="both"/>
        <w:rPr>
          <w:rFonts w:ascii="宋体" w:eastAsia="宋体" w:hAnsi="宋体" w:cs="宋体"/>
          <w:b/>
          <w:kern w:val="2"/>
          <w:sz w:val="24"/>
          <w:szCs w:val="24"/>
        </w:rPr>
      </w:pPr>
      <w:r w:rsidRPr="005833AE">
        <w:rPr>
          <w:rFonts w:ascii="宋体" w:eastAsia="宋体" w:hAnsi="宋体" w:cs="宋体" w:hint="eastAsia"/>
          <w:b/>
          <w:kern w:val="2"/>
          <w:sz w:val="24"/>
          <w:szCs w:val="24"/>
        </w:rPr>
        <w:t>三、技术参数及采购需求（序号以招标公告排序）</w:t>
      </w:r>
    </w:p>
    <w:p w:rsidR="005D50DA" w:rsidRPr="005833AE" w:rsidRDefault="005D50DA" w:rsidP="005D50DA">
      <w:pPr>
        <w:widowControl w:val="0"/>
        <w:numPr>
          <w:ilvl w:val="0"/>
          <w:numId w:val="3"/>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项目概述</w:t>
      </w:r>
    </w:p>
    <w:p w:rsidR="005D50DA" w:rsidRPr="005833AE" w:rsidRDefault="005D50DA" w:rsidP="005D50DA">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1.1项目背景</w:t>
      </w:r>
    </w:p>
    <w:p w:rsidR="005D50DA" w:rsidRPr="005833AE" w:rsidRDefault="005D50DA" w:rsidP="005D50DA">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空间环境地面模拟装置（SESRI）是国家“十二五” 期间重点规划项目，主要建设内容包括空间综合环境模拟与研究系统、 空间磁环境模拟与研究系统、空间等离子体环境模拟与研究系统、数值仿真与中央监控系统和建安工程与配套公用设施。其中，空间综合环境模拟与研究系统主要通过地面加速器装置模拟空间离子辐射环境，具有方便、快捷和实验条件可控等优点，是研究粒子辐射对材料、器件和生命体影响机理的重要实验平台。</w:t>
      </w:r>
    </w:p>
    <w:p w:rsidR="005D50DA" w:rsidRPr="005833AE" w:rsidRDefault="005D50DA" w:rsidP="005D50DA">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SESRI空间综合环境模拟与研究系统低能区内包括的低能加速器主要有：串列加速器大厅的2*6MV串列加速器及其向各终端的配送线、系统级综合辐照实验舱所包括的2*2MV串列加速器、1.2MeV电子加速器及200keV电子加速器、电子辐照终端的10MeV电子直线加速器、材料质子/电子综合辐照实验舱的1MeV电子加速器及低能电子加速器、器件微束终端的1MeV电子加速器、月尘舱的电子枪及X射线源、原子氧/辐射综合环境舱的200keV质子加速器。由于部分加速器能量较高，运行期间会产生较强的电离辐射，针对这些电离辐射 SESRI 低能区开展了屏蔽设计用于降低加速器对于实验室外部区域的电离辐射影响。同时，还应设置低能加速器辐射防护系统，主要包括辐射监测系统、人身安全联锁系统、包装运输与安装调试等工作，从而提供工作人员辐射安全的重要保障。因此，本项目针对 SESRI空间综合环境模拟与研究系统低能加速器辐射防护系统设计、集成、安装与调试一体化装置供货及服务。</w:t>
      </w:r>
    </w:p>
    <w:p w:rsidR="005D50DA" w:rsidRPr="005833AE" w:rsidRDefault="005D50DA" w:rsidP="005D50DA">
      <w:pPr>
        <w:widowControl w:val="0"/>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ab/>
        <w:t>1.2功能及总体要求</w:t>
      </w:r>
    </w:p>
    <w:p w:rsidR="005D50DA" w:rsidRPr="005833AE" w:rsidRDefault="005D50DA" w:rsidP="005D50DA">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低能加速器辐射防护系统的正常建立是低能区实验装置开机运行的必要条件，在实验装置运行时任何一个潜在的违反辐射安全能引起事故照射的行为，都应产生一个终止实验装置运行的联锁信号，以切断辐射源项，保护人员的安全。作为一个影响辐射安全的关键系统，低能加速器辐射防护系统需要满足国家核与辐射安全相关标准规范的要求，保证在放射性工作场所内的放射性人员及非放射性工作人员不受到计划外的照射，在设施正常运行状态和事故状态下保障工作人员和公众的安全与健康。低能加速器辐射防护系统主要包括但不限于辐射监测系统及辐射安全联锁系统。</w:t>
      </w:r>
    </w:p>
    <w:p w:rsidR="005D50DA" w:rsidRPr="005833AE" w:rsidRDefault="005D50DA" w:rsidP="005D50DA">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1.2.1 辐射监测系统</w:t>
      </w:r>
    </w:p>
    <w:p w:rsidR="005D50DA" w:rsidRPr="005833AE" w:rsidRDefault="005D50DA" w:rsidP="005D50DA">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辐射监测系统的主要功能是实时监测加速器运行期间辐射工作场所和束流辐照终端以及周围环境的辐射水平，确定参考点的辐射水平，为辐射安全联锁系统提供辐射水平的联锁信号，确保工作人员进入实验室工作时的工作环境辐射安全，同时对工作人员职业照射剂量进行测量和记录，验证屏蔽措施和源项计算的可靠性，保障工作人员和公众的辐射安全。本项目中辐射监测内容包括区域辐射监测、工艺辐射监测以及个人剂量管理子系统。</w:t>
      </w:r>
    </w:p>
    <w:p w:rsidR="005D50DA" w:rsidRPr="005833AE" w:rsidRDefault="005D50DA" w:rsidP="005D50DA">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区域辐射监测子系统应能准确测量区域剂量率水平，在区域剂量率超过设定阈值时能及时触发报警信号并提供给辐射安全联锁系统，实施安全联锁保护。</w:t>
      </w:r>
    </w:p>
    <w:p w:rsidR="005D50DA" w:rsidRPr="005833AE" w:rsidRDefault="005D50DA" w:rsidP="005D50DA">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个人剂量管理子系统应能准确测量工作人员受照剂量率和记录累计剂量，当剂量率、单次累计剂量或总累计剂量超过设定阈值时能发出声光警报，当总累计剂量超过设定阈值时对工作人员进入辐射控制区的权限进行锁定，并建立个人剂量数据库。</w:t>
      </w:r>
    </w:p>
    <w:p w:rsidR="005D50DA" w:rsidRPr="005833AE" w:rsidRDefault="005D50DA" w:rsidP="005D50DA">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1.2.2 辐射安全联锁系统</w:t>
      </w:r>
    </w:p>
    <w:p w:rsidR="005D50DA" w:rsidRPr="005833AE" w:rsidRDefault="005D50DA" w:rsidP="005D50DA">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辐射安全联锁系统是通过辐射控制区进出控制管理、清场搜索、紧急保护等措施防止因过量照射导致的工作人员辐照损伤甚至死亡风险，避免人员接近工作中的加速器和束流管线，或者避免在这些区域有人时，给这些区域提供束流，而且，即使在加速器停止期间，如果该区域辐射剂量超标，也不允许人员进入。事故状态下，能及时关闭束流阻挡装置或剔除传输管线中的束流，保证低能加速器运行期工作人员的辐射安全。因此，性能稳定可靠的辐射安全联锁系统是 SESRI 低能区安全实验的重要保障。</w:t>
      </w:r>
    </w:p>
    <w:p w:rsidR="005D50DA" w:rsidRPr="005833AE" w:rsidRDefault="005D50DA" w:rsidP="005D50DA">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辐射安全联锁系统应满足如下总体原则要求：</w:t>
      </w:r>
    </w:p>
    <w:p w:rsidR="005D50DA" w:rsidRPr="005833AE" w:rsidRDefault="005D50DA" w:rsidP="005D50DA">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（1）标准化原则：考虑到 SESRI 空间综合环境模拟与研究系统低能区实验装置的复杂性，随着实验条件的日益成熟，实验项目及诊断设备可能不断增加，因此需考虑标准化原则以便于系统长远的应用升级维护需要。</w:t>
      </w:r>
    </w:p>
    <w:p w:rsidR="005D50DA" w:rsidRPr="005833AE" w:rsidRDefault="005D50DA" w:rsidP="005D50DA">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2）一致性原则：辐射安全联锁系统要确保与其他关联系统的兼容性，特别是中央监控系统，保证两个系统之间友好的通信关系，确定规范的接口方式、数据传输、通信方式等。辐射监测、信号报警、联锁点的设置、动作设定值及调整范围必须符合生产工艺的要求。</w:t>
      </w:r>
    </w:p>
    <w:p w:rsidR="005D50DA" w:rsidRPr="005833AE" w:rsidRDefault="005D50DA" w:rsidP="005D50DA">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（3）实时性原则：辐射安全联锁系统作为针对工作人员辐射安全保护的专用系统，在保护操作中具有最高优先级特性，当出现紧急情况，辐射安全联锁系统可快速响应并触发保护动作，具备良好的实时性。</w:t>
      </w:r>
    </w:p>
    <w:p w:rsidR="005D50DA" w:rsidRPr="005833AE" w:rsidRDefault="005D50DA" w:rsidP="005D50DA">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4）高可靠性原则：由于辐射安全联锁系统的最高优先级特性，系统可靠性至关重要，必须选择可靠性好的系统硬件，软件设计可靠性必须高。要求：(a)所有的线路、气动装置、电动装置均采用失效保护设计，即使装置出现故障，仍能保证系统安全;(b)应尽可能地切断前级控制或是机器的最初始的运行功能，更好的保证区域内的辐射安全;（c）应当尽量选择线路简单、元器件数量少的方案；（d）信号报警、安全联锁设备应当安装在震动小、灰尘少、无腐蚀气体、无电磁干扰的场所；(e) 信号报警、安全联锁系统中安装在现场的检出装置和执行器应当符合所在场所的防爆、防火等要求。</w:t>
      </w:r>
    </w:p>
    <w:p w:rsidR="005D50DA" w:rsidRPr="005833AE" w:rsidRDefault="005D50DA" w:rsidP="005D50DA">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5）冗余设计原则：为了保证辐射安全联锁系统的可靠性，冗余设计是必要的手段，应基于纵深防御原则，并考虑可靠性与实用性双重要求，对关键设备和逻辑控制设计适当的冗余度，采用冗余设计的设备及逻辑应相互独立，且符合多元性及独立性，不会因为一套系统的失效而影响到其它系统的安全性。</w:t>
      </w:r>
    </w:p>
    <w:p w:rsidR="005D50DA" w:rsidRPr="005833AE" w:rsidRDefault="005D50DA" w:rsidP="005D50DA">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（6）人机交互原则：应提供良好的人机交互界面，使工作人员能够方便直观查看辐射安全联锁系统各部件工作状态，并便于工作人员快速准确地做出反应及操作。</w:t>
      </w:r>
    </w:p>
    <w:p w:rsidR="005D50DA" w:rsidRPr="005833AE" w:rsidRDefault="005D50DA" w:rsidP="005D50DA">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（7）最优化原则：辐射安全联锁系统逻辑设计需遵循最优化原则，即在确保人员辐射安全的前提下尽可能减少对科研、生产及运维的影响，提高加速器及实验终端的利用效率及生产效率。</w:t>
      </w:r>
    </w:p>
    <w:p w:rsidR="005D50DA" w:rsidRPr="005833AE" w:rsidRDefault="005D50DA" w:rsidP="005D50DA">
      <w:pPr>
        <w:widowControl w:val="0"/>
        <w:numPr>
          <w:ilvl w:val="0"/>
          <w:numId w:val="3"/>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w:t>
      </w:r>
      <w:r w:rsidRPr="005833AE">
        <w:rPr>
          <w:rFonts w:ascii="宋体" w:eastAsia="宋体" w:hAnsi="宋体" w:cs="宋体" w:hint="eastAsia"/>
          <w:b/>
          <w:bCs/>
          <w:kern w:val="2"/>
          <w:sz w:val="24"/>
          <w:szCs w:val="24"/>
        </w:rPr>
        <w:t>招标范围和内容</w:t>
      </w:r>
    </w:p>
    <w:p w:rsidR="005D50DA" w:rsidRPr="005833AE" w:rsidRDefault="005D50DA" w:rsidP="005D50DA">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2.1任务范围及任务分解结构</w:t>
      </w:r>
    </w:p>
    <w:p w:rsidR="005D50DA" w:rsidRPr="005833AE" w:rsidRDefault="005D50DA" w:rsidP="005D50DA">
      <w:pPr>
        <w:widowControl w:val="0"/>
        <w:adjustRightInd/>
        <w:snapToGrid/>
        <w:spacing w:after="0" w:line="440" w:lineRule="exact"/>
        <w:ind w:left="420"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本项目主要针对SESRI低能区低能加速器辐射防护系统提供包括但不限于辐射监测与辐射安全联锁系统方案设计、初步设计、详细设计、设备集成（含二次设计）、采购、安装、调试、售后服务等。主要任务范围及任务分解结构如图1所示。</w:t>
      </w:r>
    </w:p>
    <w:p w:rsidR="005D50DA" w:rsidRPr="005833AE" w:rsidRDefault="005D50DA" w:rsidP="005D50DA">
      <w:pPr>
        <w:adjustRightInd/>
        <w:snapToGrid/>
        <w:spacing w:after="0"/>
        <w:jc w:val="center"/>
        <w:rPr>
          <w:rFonts w:ascii="Times New Roman" w:eastAsia="仿宋" w:hAnsi="Times New Roman" w:cs="Times New Roman"/>
          <w:sz w:val="24"/>
          <w:szCs w:val="24"/>
          <w:lang w:eastAsia="en-US" w:bidi="en-US"/>
        </w:rPr>
      </w:pPr>
      <w:r w:rsidRPr="005833AE">
        <w:rPr>
          <w:rFonts w:ascii="Calibri" w:eastAsia="宋体" w:hAnsi="Calibri" w:cs="Times New Roman"/>
          <w:noProof/>
        </w:rPr>
        <w:drawing>
          <wp:inline distT="0" distB="0" distL="0" distR="0">
            <wp:extent cx="6479540" cy="4972685"/>
            <wp:effectExtent l="0" t="0" r="16510" b="1841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cstate="print"/>
                    <a:stretch>
                      <a:fillRect/>
                    </a:stretch>
                  </pic:blipFill>
                  <pic:spPr>
                    <a:xfrm>
                      <a:off x="0" y="0"/>
                      <a:ext cx="6479540" cy="4972685"/>
                    </a:xfrm>
                    <a:prstGeom prst="rect">
                      <a:avLst/>
                    </a:prstGeom>
                  </pic:spPr>
                </pic:pic>
              </a:graphicData>
            </a:graphic>
          </wp:inline>
        </w:drawing>
      </w:r>
    </w:p>
    <w:p w:rsidR="005D50DA" w:rsidRPr="005833AE" w:rsidRDefault="005D50DA" w:rsidP="005D50DA">
      <w:pPr>
        <w:widowControl w:val="0"/>
        <w:adjustRightInd/>
        <w:snapToGrid/>
        <w:spacing w:after="0" w:line="440" w:lineRule="exact"/>
        <w:ind w:left="422"/>
        <w:jc w:val="center"/>
        <w:rPr>
          <w:rFonts w:ascii="宋体" w:eastAsia="宋体" w:hAnsi="宋体" w:cs="宋体"/>
          <w:kern w:val="2"/>
          <w:sz w:val="24"/>
          <w:szCs w:val="24"/>
        </w:rPr>
      </w:pPr>
      <w:r w:rsidRPr="005833AE">
        <w:rPr>
          <w:rFonts w:ascii="宋体" w:eastAsia="宋体" w:hAnsi="宋体" w:cs="宋体" w:hint="eastAsia"/>
          <w:kern w:val="2"/>
          <w:sz w:val="24"/>
          <w:szCs w:val="24"/>
        </w:rPr>
        <w:t>图1 主要任务分解结构图</w:t>
      </w:r>
    </w:p>
    <w:p w:rsidR="005D50DA" w:rsidRPr="005833AE" w:rsidRDefault="005D50DA" w:rsidP="005D50DA">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2.2任务内容</w:t>
      </w:r>
    </w:p>
    <w:p w:rsidR="005D50DA" w:rsidRPr="005833AE" w:rsidRDefault="005D50DA" w:rsidP="005D50DA">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低能加速器辐射防护系统的招标主要包括但不限于硬件、软件以及文档三部分内容。</w:t>
      </w:r>
    </w:p>
    <w:p w:rsidR="005D50DA" w:rsidRPr="005833AE" w:rsidRDefault="005D50DA" w:rsidP="005D50DA">
      <w:pPr>
        <w:widowControl w:val="0"/>
        <w:numPr>
          <w:ilvl w:val="1"/>
          <w:numId w:val="4"/>
        </w:numPr>
        <w:tabs>
          <w:tab w:val="left" w:pos="900"/>
        </w:tabs>
        <w:adjustRightInd/>
        <w:snapToGrid/>
        <w:spacing w:after="0" w:line="460" w:lineRule="exact"/>
        <w:ind w:left="0"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硬件部分</w:t>
      </w:r>
    </w:p>
    <w:p w:rsidR="005D50DA" w:rsidRPr="005833AE" w:rsidRDefault="005D50DA" w:rsidP="005D50DA">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 （1）辐射监测系统装置（含配套设备）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固定式中子辐射监测设备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固定式 X/γ辐射监测设备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便携式中子辐射监测设备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便携式X/γ辐射监测设备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个人剂量监测及管理系统设备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其他相关配套设备</w:t>
      </w:r>
    </w:p>
    <w:p w:rsidR="005D50DA" w:rsidRPr="005833AE" w:rsidRDefault="005D50DA" w:rsidP="005D50DA">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 （2）辐射安全联锁系统装置（含配套设备）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门禁控制器</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急停按钮</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清场搜索按钮</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PLC 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声光报警设备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门禁控制显示屏</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监视装置</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指示灯信号</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人员出入管理箱（联锁钥匙）</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语音系统设备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视频设备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联锁区域控制箱（总钥匙箱）</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服务器</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辐射管理计算机</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客户端计算机</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网络通讯设备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机柜及系统电源等</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电缆</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其他相关配套设备</w:t>
      </w:r>
    </w:p>
    <w:p w:rsidR="005D50DA" w:rsidRPr="005833AE" w:rsidRDefault="005D50DA" w:rsidP="005D50DA">
      <w:pPr>
        <w:widowControl w:val="0"/>
        <w:spacing w:after="0" w:line="460" w:lineRule="exact"/>
        <w:ind w:leftChars="200" w:left="440"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（3）辐射控制区迷宫通道屏蔽门（含配套设备）</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10MeV 电子辐照终端屏蔽门</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系统级综合辐照实验舱一楼屏蔽门</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系统级综合辐照实验舱二楼屏蔽门</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串列加速器大厅屏蔽门</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器件微束终端屏蔽门</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材料质子/电子综合辐照舱屏蔽门</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生物微束辐照显微工作终端屏蔽门</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月尘舱铅房屏蔽门</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其他相关配套设备</w:t>
      </w:r>
    </w:p>
    <w:p w:rsidR="005D50DA" w:rsidRPr="005833AE" w:rsidRDefault="005D50DA" w:rsidP="005D50DA">
      <w:pPr>
        <w:widowControl w:val="0"/>
        <w:numPr>
          <w:ilvl w:val="1"/>
          <w:numId w:val="4"/>
        </w:numPr>
        <w:tabs>
          <w:tab w:val="left" w:pos="900"/>
        </w:tabs>
        <w:adjustRightInd/>
        <w:snapToGrid/>
        <w:spacing w:after="0" w:line="460" w:lineRule="exact"/>
        <w:ind w:left="0"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软件部分</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客户端软件</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安全联锁系统 PLC 控制软件</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辐射监测管理软件</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个人剂量管理软件</w:t>
      </w:r>
    </w:p>
    <w:p w:rsidR="005D50DA" w:rsidRPr="005833AE" w:rsidRDefault="005D50DA" w:rsidP="005D50DA">
      <w:pPr>
        <w:widowControl w:val="0"/>
        <w:numPr>
          <w:ilvl w:val="0"/>
          <w:numId w:val="5"/>
        </w:numPr>
        <w:adjustRightInd/>
        <w:snapToGrid/>
        <w:spacing w:after="0" w:line="46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与中央监控系统及加速器系统的软件接口通信</w:t>
      </w:r>
    </w:p>
    <w:p w:rsidR="005D50DA" w:rsidRPr="005833AE" w:rsidRDefault="005D50DA" w:rsidP="005D50DA">
      <w:pPr>
        <w:widowControl w:val="0"/>
        <w:spacing w:after="0" w:line="460" w:lineRule="exact"/>
        <w:ind w:left="1320"/>
        <w:jc w:val="both"/>
        <w:rPr>
          <w:rFonts w:ascii="宋体" w:eastAsia="宋体" w:hAnsi="宋体" w:cs="宋体"/>
          <w:kern w:val="2"/>
          <w:sz w:val="24"/>
          <w:szCs w:val="24"/>
        </w:rPr>
      </w:pPr>
      <w:r w:rsidRPr="005833AE">
        <w:rPr>
          <w:rFonts w:ascii="宋体" w:eastAsia="宋体" w:hAnsi="宋体" w:cs="宋体" w:hint="eastAsia"/>
          <w:kern w:val="2"/>
          <w:sz w:val="24"/>
          <w:szCs w:val="24"/>
        </w:rPr>
        <w:t>软件安装光盘应包括源代码（需要有备注说明），设计文档应齐全，源代码注释清楚，有效注释不得少于50%，便于日后维护及升级。</w:t>
      </w:r>
    </w:p>
    <w:p w:rsidR="005D50DA" w:rsidRPr="005833AE" w:rsidRDefault="005D50DA" w:rsidP="005D50DA">
      <w:pPr>
        <w:widowControl w:val="0"/>
        <w:numPr>
          <w:ilvl w:val="1"/>
          <w:numId w:val="4"/>
        </w:numPr>
        <w:tabs>
          <w:tab w:val="left" w:pos="900"/>
        </w:tabs>
        <w:adjustRightInd/>
        <w:snapToGrid/>
        <w:spacing w:after="0" w:line="460" w:lineRule="exact"/>
        <w:ind w:left="0"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文档部分</w:t>
      </w:r>
    </w:p>
    <w:p w:rsidR="005D50DA" w:rsidRPr="005833AE" w:rsidRDefault="005D50DA" w:rsidP="005D50DA">
      <w:pPr>
        <w:widowControl w:val="0"/>
        <w:adjustRightInd/>
        <w:spacing w:after="0" w:line="360" w:lineRule="auto"/>
        <w:jc w:val="center"/>
        <w:rPr>
          <w:rFonts w:ascii="宋体" w:eastAsia="宋体" w:hAnsi="宋体" w:cs="宋体"/>
          <w:kern w:val="2"/>
          <w:sz w:val="24"/>
          <w:szCs w:val="24"/>
        </w:rPr>
      </w:pPr>
      <w:r w:rsidRPr="005833AE">
        <w:rPr>
          <w:rFonts w:ascii="宋体" w:eastAsia="宋体" w:hAnsi="宋体" w:cs="宋体" w:hint="eastAsia"/>
          <w:kern w:val="2"/>
          <w:sz w:val="24"/>
          <w:szCs w:val="24"/>
        </w:rPr>
        <w:t>表1文档交付清单</w:t>
      </w:r>
    </w:p>
    <w:tbl>
      <w:tblPr>
        <w:tblW w:w="475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154"/>
        <w:gridCol w:w="6942"/>
      </w:tblGrid>
      <w:tr w:rsidR="005D50DA" w:rsidRPr="005833AE" w:rsidTr="00E25961">
        <w:trPr>
          <w:jc w:val="center"/>
        </w:trPr>
        <w:tc>
          <w:tcPr>
            <w:tcW w:w="713" w:type="pct"/>
            <w:tcBorders>
              <w:top w:val="single" w:sz="8"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autoSpaceDN w:val="0"/>
              <w:adjustRightInd/>
              <w:spacing w:after="0" w:line="288" w:lineRule="auto"/>
              <w:ind w:leftChars="76" w:left="167"/>
              <w:contextualSpacing/>
              <w:jc w:val="center"/>
              <w:rPr>
                <w:rFonts w:ascii="宋体" w:eastAsia="宋体" w:hAnsi="宋体" w:cs="宋体"/>
                <w:kern w:val="2"/>
                <w:sz w:val="24"/>
                <w:szCs w:val="24"/>
              </w:rPr>
            </w:pPr>
            <w:r w:rsidRPr="005833AE">
              <w:rPr>
                <w:rFonts w:ascii="宋体" w:eastAsia="宋体" w:hAnsi="宋体" w:cs="宋体" w:hint="eastAsia"/>
                <w:kern w:val="2"/>
                <w:sz w:val="24"/>
                <w:szCs w:val="24"/>
              </w:rPr>
              <w:t>序号</w:t>
            </w:r>
          </w:p>
        </w:tc>
        <w:tc>
          <w:tcPr>
            <w:tcW w:w="4287" w:type="pct"/>
            <w:tcBorders>
              <w:top w:val="single" w:sz="8"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文件资料名称</w:t>
            </w:r>
          </w:p>
        </w:tc>
      </w:tr>
      <w:tr w:rsidR="005D50DA" w:rsidRPr="005833AE" w:rsidTr="00E25961">
        <w:trPr>
          <w:jc w:val="center"/>
        </w:trPr>
        <w:tc>
          <w:tcPr>
            <w:tcW w:w="713" w:type="pct"/>
            <w:tcBorders>
              <w:top w:val="single" w:sz="4" w:space="0" w:color="auto"/>
              <w:left w:val="single" w:sz="8" w:space="0" w:color="auto"/>
              <w:bottom w:val="single" w:sz="4" w:space="0" w:color="auto"/>
              <w:right w:val="single" w:sz="4" w:space="0" w:color="auto"/>
            </w:tcBorders>
            <w:shd w:val="clear" w:color="auto" w:fill="9BBB59"/>
            <w:vAlign w:val="center"/>
          </w:tcPr>
          <w:p w:rsidR="005D50DA" w:rsidRPr="005833AE" w:rsidRDefault="005D50DA" w:rsidP="00E25961">
            <w:pPr>
              <w:widowControl w:val="0"/>
              <w:autoSpaceDN w:val="0"/>
              <w:adjustRightInd/>
              <w:spacing w:after="0" w:line="288" w:lineRule="auto"/>
              <w:ind w:leftChars="76" w:left="167"/>
              <w:contextualSpacing/>
              <w:jc w:val="center"/>
              <w:rPr>
                <w:rFonts w:ascii="宋体" w:eastAsia="宋体" w:hAnsi="宋体" w:cs="宋体"/>
                <w:kern w:val="2"/>
                <w:sz w:val="24"/>
                <w:szCs w:val="24"/>
              </w:rPr>
            </w:pPr>
            <w:r w:rsidRPr="005833AE">
              <w:rPr>
                <w:rFonts w:ascii="宋体" w:eastAsia="宋体" w:hAnsi="宋体" w:cs="宋体" w:hint="eastAsia"/>
                <w:kern w:val="2"/>
                <w:sz w:val="24"/>
                <w:szCs w:val="24"/>
              </w:rPr>
              <w:t>一</w:t>
            </w:r>
          </w:p>
        </w:tc>
        <w:tc>
          <w:tcPr>
            <w:tcW w:w="4287" w:type="pct"/>
            <w:tcBorders>
              <w:top w:val="single" w:sz="4" w:space="0" w:color="auto"/>
              <w:left w:val="single" w:sz="4" w:space="0" w:color="auto"/>
              <w:bottom w:val="single" w:sz="4" w:space="0" w:color="auto"/>
              <w:right w:val="single" w:sz="8" w:space="0" w:color="auto"/>
            </w:tcBorders>
            <w:shd w:val="clear" w:color="auto" w:fill="9BBB59"/>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合同签订45个工作日提交</w:t>
            </w:r>
          </w:p>
        </w:tc>
      </w:tr>
      <w:tr w:rsidR="005D50DA" w:rsidRPr="005833AE" w:rsidTr="00E25961">
        <w:trPr>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实施方案</w:t>
            </w:r>
          </w:p>
        </w:tc>
      </w:tr>
      <w:tr w:rsidR="005D50DA" w:rsidRPr="005833AE" w:rsidTr="00E25961">
        <w:trPr>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质量计划</w:t>
            </w:r>
          </w:p>
        </w:tc>
      </w:tr>
      <w:tr w:rsidR="005D50DA" w:rsidRPr="005833AE" w:rsidTr="00E25961">
        <w:trPr>
          <w:jc w:val="center"/>
        </w:trPr>
        <w:tc>
          <w:tcPr>
            <w:tcW w:w="713" w:type="pct"/>
            <w:tcBorders>
              <w:top w:val="single" w:sz="4" w:space="0" w:color="auto"/>
              <w:left w:val="single" w:sz="8" w:space="0" w:color="auto"/>
              <w:bottom w:val="single" w:sz="4" w:space="0" w:color="auto"/>
              <w:right w:val="single" w:sz="4" w:space="0" w:color="auto"/>
            </w:tcBorders>
            <w:shd w:val="clear" w:color="auto" w:fill="9BBB59"/>
            <w:vAlign w:val="center"/>
          </w:tcPr>
          <w:p w:rsidR="005D50DA" w:rsidRPr="005833AE" w:rsidRDefault="005D50DA" w:rsidP="00E25961">
            <w:pPr>
              <w:widowControl w:val="0"/>
              <w:autoSpaceDN w:val="0"/>
              <w:adjustRightInd/>
              <w:spacing w:after="0" w:line="288" w:lineRule="auto"/>
              <w:jc w:val="center"/>
              <w:rPr>
                <w:rFonts w:ascii="宋体" w:eastAsia="宋体" w:hAnsi="宋体" w:cs="宋体"/>
                <w:kern w:val="2"/>
                <w:sz w:val="24"/>
                <w:szCs w:val="24"/>
              </w:rPr>
            </w:pPr>
            <w:r w:rsidRPr="005833AE">
              <w:rPr>
                <w:rFonts w:ascii="宋体" w:eastAsia="宋体" w:hAnsi="宋体" w:cs="宋体" w:hint="eastAsia"/>
                <w:kern w:val="2"/>
                <w:sz w:val="24"/>
                <w:szCs w:val="24"/>
              </w:rPr>
              <w:t>二</w:t>
            </w:r>
          </w:p>
        </w:tc>
        <w:tc>
          <w:tcPr>
            <w:tcW w:w="4287" w:type="pct"/>
            <w:tcBorders>
              <w:top w:val="single" w:sz="4" w:space="0" w:color="auto"/>
              <w:left w:val="single" w:sz="4" w:space="0" w:color="auto"/>
              <w:bottom w:val="single" w:sz="4" w:space="0" w:color="auto"/>
              <w:right w:val="single" w:sz="8" w:space="0" w:color="auto"/>
            </w:tcBorders>
            <w:shd w:val="clear" w:color="auto" w:fill="9BBB59"/>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详细设计完成后提交</w:t>
            </w:r>
          </w:p>
        </w:tc>
      </w:tr>
      <w:tr w:rsidR="005D50DA" w:rsidRPr="005833AE" w:rsidTr="00E25961">
        <w:trPr>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详细设计报告</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系统布置图及电气接线图</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详细设计图纸</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电气元器件明细表</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零部件明细表</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关键重要件特性分析报告</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安装调试大纲</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验收大纲（含相应的验收细则）</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制造技术条件报告</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1" w:left="576"/>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经济性分析报告</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shd w:val="clear" w:color="auto" w:fill="9BBB59"/>
            <w:vAlign w:val="center"/>
          </w:tcPr>
          <w:p w:rsidR="005D50DA" w:rsidRPr="005833AE" w:rsidRDefault="005D50DA" w:rsidP="00E25961">
            <w:pPr>
              <w:widowControl w:val="0"/>
              <w:autoSpaceDN w:val="0"/>
              <w:adjustRightInd/>
              <w:spacing w:after="0" w:line="288" w:lineRule="auto"/>
              <w:jc w:val="center"/>
              <w:rPr>
                <w:rFonts w:ascii="宋体" w:eastAsia="宋体" w:hAnsi="宋体" w:cs="宋体"/>
                <w:kern w:val="2"/>
                <w:sz w:val="24"/>
                <w:szCs w:val="24"/>
              </w:rPr>
            </w:pPr>
            <w:r w:rsidRPr="005833AE">
              <w:rPr>
                <w:rFonts w:ascii="宋体" w:eastAsia="宋体" w:hAnsi="宋体" w:cs="宋体" w:hint="eastAsia"/>
                <w:kern w:val="2"/>
                <w:sz w:val="24"/>
                <w:szCs w:val="24"/>
              </w:rPr>
              <w:t>三</w:t>
            </w:r>
          </w:p>
        </w:tc>
        <w:tc>
          <w:tcPr>
            <w:tcW w:w="4287" w:type="pct"/>
            <w:tcBorders>
              <w:top w:val="single" w:sz="4" w:space="0" w:color="auto"/>
              <w:left w:val="single" w:sz="4" w:space="0" w:color="auto"/>
              <w:bottom w:val="single" w:sz="4" w:space="0" w:color="auto"/>
              <w:right w:val="single" w:sz="8" w:space="0" w:color="auto"/>
            </w:tcBorders>
            <w:shd w:val="clear" w:color="auto" w:fill="9BBB59"/>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研制生产前15个工作日提交</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工艺方案</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shd w:val="clear" w:color="auto" w:fill="9BBB59"/>
            <w:vAlign w:val="center"/>
          </w:tcPr>
          <w:p w:rsidR="005D50DA" w:rsidRPr="005833AE" w:rsidRDefault="005D50DA" w:rsidP="00E25961">
            <w:pPr>
              <w:widowControl w:val="0"/>
              <w:autoSpaceDN w:val="0"/>
              <w:adjustRightInd/>
              <w:spacing w:after="0" w:line="288" w:lineRule="auto"/>
              <w:jc w:val="center"/>
              <w:rPr>
                <w:rFonts w:ascii="宋体" w:eastAsia="宋体" w:hAnsi="宋体" w:cs="宋体"/>
                <w:kern w:val="2"/>
                <w:sz w:val="24"/>
                <w:szCs w:val="24"/>
              </w:rPr>
            </w:pPr>
            <w:r w:rsidRPr="005833AE">
              <w:rPr>
                <w:rFonts w:ascii="宋体" w:eastAsia="宋体" w:hAnsi="宋体" w:cs="宋体" w:hint="eastAsia"/>
                <w:kern w:val="2"/>
                <w:sz w:val="24"/>
                <w:szCs w:val="24"/>
              </w:rPr>
              <w:t>四</w:t>
            </w:r>
          </w:p>
        </w:tc>
        <w:tc>
          <w:tcPr>
            <w:tcW w:w="4287" w:type="pct"/>
            <w:tcBorders>
              <w:top w:val="single" w:sz="4" w:space="0" w:color="auto"/>
              <w:left w:val="single" w:sz="4" w:space="0" w:color="auto"/>
              <w:bottom w:val="single" w:sz="4" w:space="0" w:color="auto"/>
              <w:right w:val="single" w:sz="8" w:space="0" w:color="auto"/>
            </w:tcBorders>
            <w:shd w:val="clear" w:color="auto" w:fill="9BBB59"/>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研制生产过程中提交</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64" w:left="586" w:hanging="445"/>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加工制造过程中的阶段测试报告、变更记录、说明和图纸等过程记录文件即《中间过程控制记录》</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shd w:val="clear" w:color="auto" w:fill="9BBB59"/>
            <w:vAlign w:val="center"/>
          </w:tcPr>
          <w:p w:rsidR="005D50DA" w:rsidRPr="005833AE" w:rsidRDefault="005D50DA" w:rsidP="00E25961">
            <w:pPr>
              <w:widowControl w:val="0"/>
              <w:autoSpaceDN w:val="0"/>
              <w:adjustRightInd/>
              <w:spacing w:after="0" w:line="288" w:lineRule="auto"/>
              <w:jc w:val="center"/>
              <w:rPr>
                <w:rFonts w:ascii="宋体" w:eastAsia="宋体" w:hAnsi="宋体" w:cs="宋体"/>
                <w:kern w:val="2"/>
                <w:sz w:val="24"/>
                <w:szCs w:val="24"/>
              </w:rPr>
            </w:pPr>
            <w:r w:rsidRPr="005833AE">
              <w:rPr>
                <w:rFonts w:ascii="宋体" w:eastAsia="宋体" w:hAnsi="宋体" w:cs="宋体" w:hint="eastAsia"/>
                <w:kern w:val="2"/>
                <w:sz w:val="24"/>
                <w:szCs w:val="24"/>
              </w:rPr>
              <w:t>五</w:t>
            </w:r>
          </w:p>
        </w:tc>
        <w:tc>
          <w:tcPr>
            <w:tcW w:w="4287" w:type="pct"/>
            <w:tcBorders>
              <w:top w:val="single" w:sz="4" w:space="0" w:color="auto"/>
              <w:left w:val="single" w:sz="4" w:space="0" w:color="auto"/>
              <w:bottom w:val="single" w:sz="4" w:space="0" w:color="auto"/>
              <w:right w:val="single" w:sz="8" w:space="0" w:color="auto"/>
            </w:tcBorders>
            <w:shd w:val="clear" w:color="auto" w:fill="9BBB59"/>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现场安装及调试前30个工作日提交</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安装调试大纲</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现场安装及调试实施方案</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shd w:val="clear" w:color="auto" w:fill="9BBB59"/>
            <w:vAlign w:val="center"/>
          </w:tcPr>
          <w:p w:rsidR="005D50DA" w:rsidRPr="005833AE" w:rsidRDefault="005D50DA" w:rsidP="00E25961">
            <w:pPr>
              <w:widowControl w:val="0"/>
              <w:autoSpaceDN w:val="0"/>
              <w:adjustRightInd/>
              <w:spacing w:after="0" w:line="288" w:lineRule="auto"/>
              <w:jc w:val="center"/>
              <w:rPr>
                <w:rFonts w:ascii="宋体" w:eastAsia="宋体" w:hAnsi="宋体" w:cs="宋体"/>
                <w:kern w:val="2"/>
                <w:sz w:val="24"/>
                <w:szCs w:val="24"/>
              </w:rPr>
            </w:pPr>
            <w:r w:rsidRPr="005833AE">
              <w:rPr>
                <w:rFonts w:ascii="宋体" w:eastAsia="宋体" w:hAnsi="宋体" w:cs="宋体" w:hint="eastAsia"/>
                <w:kern w:val="2"/>
                <w:sz w:val="24"/>
                <w:szCs w:val="24"/>
              </w:rPr>
              <w:t>六</w:t>
            </w:r>
          </w:p>
        </w:tc>
        <w:tc>
          <w:tcPr>
            <w:tcW w:w="4287" w:type="pct"/>
            <w:tcBorders>
              <w:top w:val="single" w:sz="4" w:space="0" w:color="auto"/>
              <w:left w:val="single" w:sz="4" w:space="0" w:color="auto"/>
              <w:bottom w:val="single" w:sz="4" w:space="0" w:color="auto"/>
              <w:right w:val="single" w:sz="8" w:space="0" w:color="auto"/>
            </w:tcBorders>
            <w:shd w:val="clear" w:color="auto" w:fill="9BBB59"/>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设备验收前5个工作日提交</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44" w:hanging="37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项目总结报告</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44" w:hanging="37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工艺文件、规范及目录清单</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44" w:hanging="37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产品出厂检测报告、合格证明文件资料</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44" w:hanging="37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系统设备使用说明书</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44" w:hanging="37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系统设备维护手册（含运行操作规程及安全规范）</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44" w:hanging="37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保养记录</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44" w:hanging="37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软件用户手册</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44" w:hanging="37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控制软件可执行程序，源代码与支撑软件</w:t>
            </w:r>
          </w:p>
        </w:tc>
      </w:tr>
      <w:tr w:rsidR="005D50DA" w:rsidRPr="005833AE" w:rsidTr="00E25961">
        <w:trPr>
          <w:trHeight w:val="508"/>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软件工程化文档（含软件需求说明、软件设计报告、软件测试说明书、软件测试报告等）</w:t>
            </w:r>
          </w:p>
        </w:tc>
      </w:tr>
      <w:tr w:rsidR="005D50DA" w:rsidRPr="005833AE" w:rsidTr="00E25961">
        <w:trPr>
          <w:trHeight w:val="70"/>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产品交付清单（含文件清单）</w:t>
            </w:r>
          </w:p>
        </w:tc>
      </w:tr>
      <w:tr w:rsidR="005D50DA" w:rsidRPr="005833AE" w:rsidTr="00E25961">
        <w:trPr>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备件及易损件清单</w:t>
            </w:r>
          </w:p>
        </w:tc>
      </w:tr>
      <w:tr w:rsidR="005D50DA" w:rsidRPr="005833AE" w:rsidTr="00E25961">
        <w:trPr>
          <w:jc w:val="center"/>
        </w:trPr>
        <w:tc>
          <w:tcPr>
            <w:tcW w:w="713" w:type="pct"/>
            <w:tcBorders>
              <w:top w:val="single" w:sz="4" w:space="0" w:color="auto"/>
              <w:left w:val="single" w:sz="8" w:space="0" w:color="auto"/>
              <w:bottom w:val="single" w:sz="4" w:space="0" w:color="auto"/>
              <w:right w:val="single" w:sz="4" w:space="0" w:color="auto"/>
            </w:tcBorders>
            <w:vAlign w:val="center"/>
          </w:tcPr>
          <w:p w:rsidR="005D50DA" w:rsidRPr="005833AE" w:rsidRDefault="005D50DA" w:rsidP="00E25961">
            <w:pPr>
              <w:widowControl w:val="0"/>
              <w:numPr>
                <w:ilvl w:val="0"/>
                <w:numId w:val="6"/>
              </w:numPr>
              <w:autoSpaceDN w:val="0"/>
              <w:adjustRightInd/>
              <w:snapToGrid/>
              <w:spacing w:after="0" w:line="288" w:lineRule="auto"/>
              <w:ind w:leftChars="76" w:left="587"/>
              <w:contextualSpacing/>
              <w:jc w:val="center"/>
              <w:rPr>
                <w:rFonts w:ascii="宋体" w:eastAsia="宋体" w:hAnsi="宋体" w:cs="宋体"/>
                <w:kern w:val="2"/>
                <w:sz w:val="24"/>
                <w:szCs w:val="24"/>
              </w:rPr>
            </w:pPr>
          </w:p>
        </w:tc>
        <w:tc>
          <w:tcPr>
            <w:tcW w:w="4287" w:type="pct"/>
            <w:tcBorders>
              <w:top w:val="single" w:sz="4" w:space="0" w:color="auto"/>
              <w:left w:val="single" w:sz="4" w:space="0" w:color="auto"/>
              <w:bottom w:val="single" w:sz="4" w:space="0" w:color="auto"/>
              <w:right w:val="single" w:sz="8" w:space="0" w:color="auto"/>
            </w:tcBorders>
            <w:vAlign w:val="center"/>
          </w:tcPr>
          <w:p w:rsidR="005D50DA" w:rsidRPr="005833AE" w:rsidRDefault="005D50DA" w:rsidP="00E25961">
            <w:pPr>
              <w:widowControl w:val="0"/>
              <w:autoSpaceDN w:val="0"/>
              <w:adjustRightInd/>
              <w:spacing w:after="0" w:line="288" w:lineRule="auto"/>
              <w:jc w:val="both"/>
              <w:rPr>
                <w:rFonts w:ascii="宋体" w:eastAsia="宋体" w:hAnsi="宋体" w:cs="宋体"/>
                <w:kern w:val="2"/>
                <w:sz w:val="24"/>
                <w:szCs w:val="24"/>
              </w:rPr>
            </w:pPr>
            <w:r w:rsidRPr="005833AE">
              <w:rPr>
                <w:rFonts w:ascii="宋体" w:eastAsia="宋体" w:hAnsi="宋体" w:cs="宋体" w:hint="eastAsia"/>
                <w:kern w:val="2"/>
                <w:sz w:val="24"/>
                <w:szCs w:val="24"/>
              </w:rPr>
              <w:t>外采材料的材料质量证明文件</w:t>
            </w:r>
          </w:p>
        </w:tc>
      </w:tr>
    </w:tbl>
    <w:p w:rsidR="005D50DA" w:rsidRPr="005833AE" w:rsidRDefault="005D50DA" w:rsidP="005D50DA">
      <w:pPr>
        <w:widowControl w:val="0"/>
        <w:adjustRightInd/>
        <w:snapToGrid/>
        <w:spacing w:after="0" w:line="440" w:lineRule="exact"/>
        <w:jc w:val="both"/>
        <w:rPr>
          <w:rFonts w:ascii="宋体" w:eastAsia="宋体" w:hAnsi="宋体" w:cs="宋体"/>
          <w:kern w:val="2"/>
          <w:sz w:val="24"/>
          <w:szCs w:val="24"/>
        </w:rPr>
      </w:pPr>
    </w:p>
    <w:p w:rsidR="005D50DA" w:rsidRPr="005833AE" w:rsidRDefault="005D50DA" w:rsidP="005D50DA">
      <w:pPr>
        <w:widowControl w:val="0"/>
        <w:numPr>
          <w:ilvl w:val="0"/>
          <w:numId w:val="3"/>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任务书（定制非标类）或设备详细参数、指标等需求</w:t>
      </w:r>
    </w:p>
    <w:p w:rsidR="005D50DA" w:rsidRPr="005833AE" w:rsidRDefault="005D50DA" w:rsidP="005D50DA">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3.1设备1-n的技术参数、指标、设计要求、材料要求等</w:t>
      </w:r>
    </w:p>
    <w:p w:rsidR="005D50DA" w:rsidRPr="005833AE" w:rsidRDefault="005D50DA" w:rsidP="005D50DA">
      <w:pPr>
        <w:widowControl w:val="0"/>
        <w:adjustRightInd/>
        <w:snapToGrid/>
        <w:spacing w:after="0" w:line="440" w:lineRule="exact"/>
        <w:ind w:left="422"/>
        <w:jc w:val="both"/>
        <w:rPr>
          <w:rFonts w:ascii="宋体" w:eastAsia="宋体" w:hAnsi="宋体" w:cs="宋体"/>
          <w:kern w:val="2"/>
          <w:sz w:val="24"/>
          <w:szCs w:val="24"/>
        </w:rPr>
      </w:pPr>
      <w:r w:rsidRPr="005833AE">
        <w:rPr>
          <w:rFonts w:ascii="宋体" w:eastAsia="宋体" w:hAnsi="宋体" w:cs="宋体" w:hint="eastAsia"/>
          <w:kern w:val="2"/>
          <w:sz w:val="24"/>
          <w:szCs w:val="24"/>
        </w:rPr>
        <w:t>3.1.1系统设计要求简介</w:t>
      </w:r>
    </w:p>
    <w:p w:rsidR="005D50DA" w:rsidRPr="005833AE" w:rsidRDefault="005D50DA" w:rsidP="005D50DA">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低能区加速器布局图如图2所示，各区域加速器数量、种类及运行模式列在表2中。</w:t>
      </w:r>
    </w:p>
    <w:p w:rsidR="005D50DA" w:rsidRPr="005833AE" w:rsidRDefault="005D50DA" w:rsidP="005D50DA">
      <w:pPr>
        <w:widowControl w:val="0"/>
        <w:adjustRightInd/>
        <w:snapToGrid/>
        <w:spacing w:after="0" w:line="440" w:lineRule="exact"/>
        <w:jc w:val="center"/>
        <w:rPr>
          <w:rFonts w:ascii="宋体" w:eastAsia="宋体" w:hAnsi="宋体" w:cs="宋体"/>
          <w:kern w:val="2"/>
          <w:sz w:val="24"/>
          <w:szCs w:val="24"/>
        </w:rPr>
      </w:pPr>
      <w:r w:rsidRPr="005833AE">
        <w:rPr>
          <w:rFonts w:ascii="宋体" w:eastAsia="宋体" w:hAnsi="宋体" w:cs="宋体" w:hint="eastAsia"/>
          <w:kern w:val="2"/>
          <w:sz w:val="24"/>
          <w:szCs w:val="24"/>
        </w:rPr>
        <w:t>表2 加速器运行模式</w:t>
      </w:r>
    </w:p>
    <w:tbl>
      <w:tblPr>
        <w:tblStyle w:val="a7"/>
        <w:tblW w:w="0" w:type="auto"/>
        <w:jc w:val="center"/>
        <w:tblLook w:val="04A0"/>
      </w:tblPr>
      <w:tblGrid>
        <w:gridCol w:w="819"/>
        <w:gridCol w:w="1943"/>
        <w:gridCol w:w="2148"/>
        <w:gridCol w:w="3612"/>
      </w:tblGrid>
      <w:tr w:rsidR="005D50DA" w:rsidRPr="005833AE" w:rsidTr="00E25961">
        <w:trPr>
          <w:trHeight w:val="556"/>
          <w:jc w:val="center"/>
        </w:trPr>
        <w:tc>
          <w:tcPr>
            <w:tcW w:w="8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编号</w:t>
            </w:r>
          </w:p>
        </w:tc>
        <w:tc>
          <w:tcPr>
            <w:tcW w:w="20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区域名称及用途</w:t>
            </w:r>
          </w:p>
        </w:tc>
        <w:tc>
          <w:tcPr>
            <w:tcW w:w="226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加速器数量及种类</w:t>
            </w:r>
          </w:p>
        </w:tc>
        <w:tc>
          <w:tcPr>
            <w:tcW w:w="387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运行模式</w:t>
            </w:r>
          </w:p>
        </w:tc>
      </w:tr>
      <w:tr w:rsidR="005D50DA" w:rsidRPr="005833AE" w:rsidTr="00E25961">
        <w:trPr>
          <w:jc w:val="center"/>
        </w:trPr>
        <w:tc>
          <w:tcPr>
            <w:tcW w:w="8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C-1</w:t>
            </w:r>
          </w:p>
        </w:tc>
        <w:tc>
          <w:tcPr>
            <w:tcW w:w="20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串列加速器大厅</w:t>
            </w:r>
          </w:p>
        </w:tc>
        <w:tc>
          <w:tcPr>
            <w:tcW w:w="226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2*6MV串列加速器</w:t>
            </w:r>
          </w:p>
        </w:tc>
        <w:tc>
          <w:tcPr>
            <w:tcW w:w="3878" w:type="dxa"/>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串列加速器全年提供束流（包括重离子和质子）时间8000小时/年；</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串列加速器一共引出三条10MeV 质子束线，分别提供给器件微束终端（C-2）（水平向上45度偏转至C-2）、生物微束终端（C-3）（由串列加速器大厅竖直向上偏转经大厅顶板圆孔引出至二层的C-3）、10MeV电子辐照终端（C-4）（水平向下90度偏转至C-4）、材料质子/电子综合辐照舱（C-5）（水平向下30度偏转至C-5）；</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3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③</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串列加速器每次运行仅能分立供束，即任一配送线有束流通过，其他配送线均无束流。</w:t>
            </w:r>
          </w:p>
        </w:tc>
      </w:tr>
      <w:tr w:rsidR="005D50DA" w:rsidRPr="005833AE" w:rsidTr="00E25961">
        <w:trPr>
          <w:jc w:val="center"/>
        </w:trPr>
        <w:tc>
          <w:tcPr>
            <w:tcW w:w="8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C-2</w:t>
            </w:r>
          </w:p>
        </w:tc>
        <w:tc>
          <w:tcPr>
            <w:tcW w:w="20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器件微束终端</w:t>
            </w:r>
          </w:p>
        </w:tc>
        <w:tc>
          <w:tcPr>
            <w:tcW w:w="226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1MeV 电子加速器；</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2*6MV串列加速器配送线</w:t>
            </w:r>
          </w:p>
        </w:tc>
        <w:tc>
          <w:tcPr>
            <w:tcW w:w="3878" w:type="dxa"/>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真空舱环境下，1MeV电子加速器可单独使用；</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真空舱环境下，1MeV电子加速器和2*6MV串列加速器配送线可同时使用。</w:t>
            </w:r>
          </w:p>
        </w:tc>
      </w:tr>
      <w:tr w:rsidR="005D50DA" w:rsidRPr="005833AE" w:rsidTr="00E25961">
        <w:trPr>
          <w:jc w:val="center"/>
        </w:trPr>
        <w:tc>
          <w:tcPr>
            <w:tcW w:w="8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C-3</w:t>
            </w:r>
          </w:p>
        </w:tc>
        <w:tc>
          <w:tcPr>
            <w:tcW w:w="20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生物微束终端</w:t>
            </w:r>
          </w:p>
        </w:tc>
        <w:tc>
          <w:tcPr>
            <w:tcW w:w="226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2*6MV串列加速器配送线</w:t>
            </w:r>
          </w:p>
        </w:tc>
        <w:tc>
          <w:tcPr>
            <w:tcW w:w="3878" w:type="dxa"/>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空气环境下，2*6MV串列加速器配送线单独使用。</w:t>
            </w:r>
          </w:p>
        </w:tc>
      </w:tr>
      <w:tr w:rsidR="005D50DA" w:rsidRPr="005833AE" w:rsidTr="00E25961">
        <w:trPr>
          <w:jc w:val="center"/>
        </w:trPr>
        <w:tc>
          <w:tcPr>
            <w:tcW w:w="8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C-4</w:t>
            </w:r>
          </w:p>
        </w:tc>
        <w:tc>
          <w:tcPr>
            <w:tcW w:w="20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10MeV电子辐照终端</w:t>
            </w:r>
          </w:p>
        </w:tc>
        <w:tc>
          <w:tcPr>
            <w:tcW w:w="226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10MeV电子加速器；</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2*6MV串列加速器配送线</w:t>
            </w:r>
          </w:p>
        </w:tc>
        <w:tc>
          <w:tcPr>
            <w:tcW w:w="387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空气环境下，10MeV电子加速器单独使用，年运行3500小时；</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真空舱环境下，10MeV电子加速器和2*6MV串列加速器配送线同时使用，年运行3500小时。</w:t>
            </w:r>
          </w:p>
        </w:tc>
      </w:tr>
      <w:tr w:rsidR="005D50DA" w:rsidRPr="005833AE" w:rsidTr="00E25961">
        <w:trPr>
          <w:jc w:val="center"/>
        </w:trPr>
        <w:tc>
          <w:tcPr>
            <w:tcW w:w="8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C-5</w:t>
            </w:r>
          </w:p>
        </w:tc>
        <w:tc>
          <w:tcPr>
            <w:tcW w:w="20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材料质子/电子综合辐照舱</w:t>
            </w:r>
          </w:p>
        </w:tc>
        <w:tc>
          <w:tcPr>
            <w:tcW w:w="226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1MeV电子加速器；</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低能电子加速器；</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3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③</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2*6MV串列加速器配送线</w:t>
            </w:r>
          </w:p>
        </w:tc>
        <w:tc>
          <w:tcPr>
            <w:tcW w:w="387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真空舱环境下，1MeV电子加速器、低能电子加速器及2*6MV串列加速器配送线同时使用，年运行3500小时；</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真空舱环境下，1MeV电子加速器和低能电子加速器同时使用，年运行3500小时。</w:t>
            </w:r>
          </w:p>
        </w:tc>
      </w:tr>
      <w:tr w:rsidR="005D50DA" w:rsidRPr="005833AE" w:rsidTr="00E25961">
        <w:trPr>
          <w:jc w:val="center"/>
        </w:trPr>
        <w:tc>
          <w:tcPr>
            <w:tcW w:w="8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C-6</w:t>
            </w:r>
          </w:p>
        </w:tc>
        <w:tc>
          <w:tcPr>
            <w:tcW w:w="20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系统级综合辐照舱</w:t>
            </w:r>
          </w:p>
        </w:tc>
        <w:tc>
          <w:tcPr>
            <w:tcW w:w="226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2MV串列加速器；</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1MeV电子加速器；</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3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③</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200keV电子加速器</w:t>
            </w:r>
          </w:p>
        </w:tc>
        <w:tc>
          <w:tcPr>
            <w:tcW w:w="387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真空舱环境下，二楼的三台加速器可同时运行，以45°倾角入射至一楼舱体聚焦平面上，年运行7000小时；</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真空舱环境下，二楼的每台加速器均可单独运行，以45°倾角入射至一楼舱体聚焦平面上；</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3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③</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真空舱环境下，2MV串列加速器束流也可单独地在二楼辐照终端上使用。</w:t>
            </w:r>
          </w:p>
        </w:tc>
      </w:tr>
      <w:tr w:rsidR="005D50DA" w:rsidRPr="005833AE" w:rsidTr="00E25961">
        <w:trPr>
          <w:jc w:val="center"/>
        </w:trPr>
        <w:tc>
          <w:tcPr>
            <w:tcW w:w="8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C-7</w:t>
            </w:r>
          </w:p>
        </w:tc>
        <w:tc>
          <w:tcPr>
            <w:tcW w:w="20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月尘舱</w:t>
            </w:r>
          </w:p>
        </w:tc>
        <w:tc>
          <w:tcPr>
            <w:tcW w:w="226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80keV X射线；</w:t>
            </w: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10kW 电子辐照</w:t>
            </w:r>
          </w:p>
        </w:tc>
        <w:tc>
          <w:tcPr>
            <w:tcW w:w="387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真空舱环境下，两辐射源可单独使用；</w:t>
            </w:r>
          </w:p>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真空舱环境下，两辐射源可同时使用，年运行2000小时。</w:t>
            </w:r>
          </w:p>
        </w:tc>
      </w:tr>
      <w:tr w:rsidR="005D50DA" w:rsidRPr="005833AE" w:rsidTr="00E25961">
        <w:trPr>
          <w:jc w:val="center"/>
        </w:trPr>
        <w:tc>
          <w:tcPr>
            <w:tcW w:w="8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C-8</w:t>
            </w:r>
          </w:p>
        </w:tc>
        <w:tc>
          <w:tcPr>
            <w:tcW w:w="205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原子氧/辐射综合环境舱</w:t>
            </w:r>
          </w:p>
        </w:tc>
        <w:tc>
          <w:tcPr>
            <w:tcW w:w="226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200keV质子加速器</w:t>
            </w:r>
          </w:p>
        </w:tc>
        <w:tc>
          <w:tcPr>
            <w:tcW w:w="3878" w:type="dxa"/>
            <w:vAlign w:val="center"/>
          </w:tcPr>
          <w:p w:rsidR="005D50DA" w:rsidRPr="005833AE" w:rsidRDefault="005D50DA" w:rsidP="00E25961">
            <w:pPr>
              <w:adjustRightInd/>
              <w:snapToGrid/>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真空舱环境下，200keV质子加速器单独使用，年运行3500小时。</w:t>
            </w:r>
          </w:p>
        </w:tc>
      </w:tr>
    </w:tbl>
    <w:p w:rsidR="005D50DA" w:rsidRPr="005833AE" w:rsidRDefault="005D50DA" w:rsidP="005D50DA">
      <w:pPr>
        <w:widowControl w:val="0"/>
        <w:adjustRightInd/>
        <w:snapToGrid/>
        <w:spacing w:after="0" w:line="440" w:lineRule="exact"/>
        <w:ind w:left="422"/>
        <w:jc w:val="both"/>
        <w:rPr>
          <w:rFonts w:ascii="Times New Roman" w:eastAsia="仿宋" w:hAnsi="Times New Roman" w:cs="Times New Roman"/>
          <w:kern w:val="2"/>
          <w:sz w:val="24"/>
          <w:szCs w:val="24"/>
        </w:rPr>
      </w:pPr>
    </w:p>
    <w:p w:rsidR="005D50DA" w:rsidRPr="005833AE" w:rsidRDefault="005D50DA" w:rsidP="005D50DA">
      <w:pPr>
        <w:adjustRightInd/>
        <w:snapToGrid/>
        <w:spacing w:after="0"/>
        <w:jc w:val="center"/>
        <w:rPr>
          <w:rFonts w:ascii="Times New Roman" w:eastAsia="仿宋" w:hAnsi="Times New Roman" w:cs="Times New Roman"/>
          <w:sz w:val="24"/>
          <w:szCs w:val="24"/>
          <w:lang w:eastAsia="en-US" w:bidi="en-US"/>
        </w:rPr>
      </w:pPr>
      <w:r w:rsidRPr="005833AE">
        <w:rPr>
          <w:rFonts w:ascii="Calibri" w:eastAsia="宋体" w:hAnsi="Calibri" w:cs="Times New Roman"/>
          <w:noProof/>
        </w:rPr>
        <w:drawing>
          <wp:inline distT="0" distB="0" distL="0" distR="0">
            <wp:extent cx="5486400" cy="5392420"/>
            <wp:effectExtent l="0" t="0" r="0" b="1778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86400" cy="5392420"/>
                    </a:xfrm>
                    <a:prstGeom prst="rect">
                      <a:avLst/>
                    </a:prstGeom>
                    <a:noFill/>
                  </pic:spPr>
                </pic:pic>
              </a:graphicData>
            </a:graphic>
          </wp:inline>
        </w:drawing>
      </w:r>
    </w:p>
    <w:p w:rsidR="005D50DA" w:rsidRPr="005833AE" w:rsidRDefault="005D50DA" w:rsidP="005D50DA">
      <w:pPr>
        <w:adjustRightInd/>
        <w:snapToGrid/>
        <w:spacing w:after="0"/>
        <w:jc w:val="center"/>
        <w:rPr>
          <w:rFonts w:ascii="宋体" w:eastAsia="宋体" w:hAnsi="宋体" w:cs="宋体"/>
          <w:sz w:val="24"/>
          <w:szCs w:val="24"/>
          <w:lang w:eastAsia="en-US" w:bidi="en-US"/>
        </w:rPr>
      </w:pPr>
    </w:p>
    <w:p w:rsidR="005D50DA" w:rsidRPr="005833AE" w:rsidRDefault="005D50DA" w:rsidP="005D50DA">
      <w:pPr>
        <w:adjustRightInd/>
        <w:snapToGrid/>
        <w:spacing w:after="0"/>
        <w:jc w:val="center"/>
        <w:rPr>
          <w:rFonts w:ascii="宋体" w:eastAsia="宋体" w:hAnsi="宋体" w:cs="宋体"/>
          <w:sz w:val="24"/>
          <w:szCs w:val="24"/>
          <w:lang w:eastAsia="en-US" w:bidi="en-US"/>
        </w:rPr>
      </w:pPr>
      <w:r w:rsidRPr="005833AE">
        <w:rPr>
          <w:rFonts w:ascii="宋体" w:eastAsia="宋体" w:hAnsi="宋体" w:cs="宋体" w:hint="eastAsia"/>
          <w:sz w:val="24"/>
          <w:szCs w:val="24"/>
          <w:lang w:eastAsia="en-US" w:bidi="en-US"/>
        </w:rPr>
        <w:t>图2 低能区加速器布局图</w:t>
      </w:r>
    </w:p>
    <w:p w:rsidR="005D50DA" w:rsidRPr="005833AE" w:rsidRDefault="005D50DA" w:rsidP="005D50DA">
      <w:pPr>
        <w:adjustRightInd/>
        <w:snapToGrid/>
        <w:spacing w:after="0"/>
        <w:jc w:val="center"/>
        <w:rPr>
          <w:rFonts w:ascii="宋体" w:eastAsia="宋体" w:hAnsi="宋体" w:cs="宋体"/>
          <w:sz w:val="24"/>
          <w:szCs w:val="24"/>
          <w:lang w:eastAsia="en-US" w:bidi="en-US"/>
        </w:rPr>
      </w:pPr>
    </w:p>
    <w:p w:rsidR="005D50DA" w:rsidRPr="005833AE" w:rsidRDefault="005D50DA" w:rsidP="005D50DA">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低能区加速器源项分布如图3所示，各源项参数列在表3中，C-1区6MV串列加速器不同工况下的源项列在表4中。</w:t>
      </w:r>
    </w:p>
    <w:p w:rsidR="005D50DA" w:rsidRPr="005833AE" w:rsidRDefault="005D50DA" w:rsidP="005D50DA">
      <w:pPr>
        <w:adjustRightInd/>
        <w:snapToGrid/>
        <w:spacing w:after="0"/>
        <w:jc w:val="center"/>
        <w:rPr>
          <w:rFonts w:ascii="Times New Roman" w:eastAsia="仿宋" w:hAnsi="Times New Roman" w:cs="Times New Roman"/>
          <w:sz w:val="24"/>
          <w:szCs w:val="24"/>
          <w:lang w:eastAsia="en-US" w:bidi="en-US"/>
        </w:rPr>
      </w:pPr>
      <w:r w:rsidRPr="005833AE">
        <w:rPr>
          <w:rFonts w:ascii="Calibri" w:eastAsia="宋体" w:hAnsi="Calibri" w:cs="Times New Roman"/>
          <w:noProof/>
        </w:rPr>
        <w:drawing>
          <wp:inline distT="0" distB="0" distL="0" distR="0">
            <wp:extent cx="6479540" cy="4872355"/>
            <wp:effectExtent l="0" t="0" r="16510" b="44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cstate="print"/>
                    <a:stretch>
                      <a:fillRect/>
                    </a:stretch>
                  </pic:blipFill>
                  <pic:spPr>
                    <a:xfrm>
                      <a:off x="0" y="0"/>
                      <a:ext cx="6479540" cy="4872355"/>
                    </a:xfrm>
                    <a:prstGeom prst="rect">
                      <a:avLst/>
                    </a:prstGeom>
                  </pic:spPr>
                </pic:pic>
              </a:graphicData>
            </a:graphic>
          </wp:inline>
        </w:drawing>
      </w:r>
    </w:p>
    <w:p w:rsidR="005D50DA" w:rsidRPr="005833AE" w:rsidRDefault="005D50DA" w:rsidP="005D50DA">
      <w:pPr>
        <w:adjustRightInd/>
        <w:snapToGrid/>
        <w:spacing w:after="0"/>
        <w:jc w:val="center"/>
        <w:rPr>
          <w:rFonts w:ascii="宋体" w:eastAsia="宋体" w:hAnsi="宋体" w:cs="宋体"/>
          <w:sz w:val="24"/>
          <w:szCs w:val="24"/>
          <w:lang w:eastAsia="en-US" w:bidi="en-US"/>
        </w:rPr>
      </w:pPr>
      <w:r w:rsidRPr="005833AE">
        <w:rPr>
          <w:rFonts w:ascii="宋体" w:eastAsia="宋体" w:hAnsi="宋体" w:cs="宋体" w:hint="eastAsia"/>
          <w:sz w:val="24"/>
          <w:szCs w:val="24"/>
          <w:lang w:eastAsia="en-US" w:bidi="en-US"/>
        </w:rPr>
        <w:t>图3 低能区加速器源项分布</w:t>
      </w:r>
    </w:p>
    <w:p w:rsidR="005D50DA" w:rsidRPr="005833AE" w:rsidRDefault="005D50DA" w:rsidP="005D50DA">
      <w:pPr>
        <w:widowControl w:val="0"/>
        <w:adjustRightInd/>
        <w:snapToGrid/>
        <w:spacing w:after="0" w:line="440" w:lineRule="exact"/>
        <w:jc w:val="center"/>
        <w:rPr>
          <w:rFonts w:ascii="宋体" w:eastAsia="宋体" w:hAnsi="宋体" w:cs="宋体"/>
          <w:kern w:val="2"/>
          <w:sz w:val="24"/>
          <w:szCs w:val="24"/>
        </w:rPr>
      </w:pPr>
      <w:r w:rsidRPr="005833AE">
        <w:rPr>
          <w:rFonts w:ascii="宋体" w:eastAsia="宋体" w:hAnsi="宋体" w:cs="宋体" w:hint="eastAsia"/>
          <w:kern w:val="2"/>
          <w:sz w:val="24"/>
          <w:szCs w:val="24"/>
        </w:rPr>
        <w:t>表3 低能区加速器及其配送线上的瞬发源项参数</w:t>
      </w:r>
    </w:p>
    <w:tbl>
      <w:tblPr>
        <w:tblStyle w:val="a7"/>
        <w:tblW w:w="0" w:type="auto"/>
        <w:jc w:val="center"/>
        <w:tblLayout w:type="fixed"/>
        <w:tblLook w:val="04A0"/>
      </w:tblPr>
      <w:tblGrid>
        <w:gridCol w:w="735"/>
        <w:gridCol w:w="709"/>
        <w:gridCol w:w="709"/>
        <w:gridCol w:w="992"/>
        <w:gridCol w:w="1107"/>
        <w:gridCol w:w="1728"/>
        <w:gridCol w:w="727"/>
        <w:gridCol w:w="992"/>
        <w:gridCol w:w="709"/>
        <w:gridCol w:w="997"/>
      </w:tblGrid>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束损点编号</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分区</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损失方式</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加速粒子种类</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粒子能量</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流强</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辐照材料</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材料尺寸</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(mm)</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束线传输效率</w:t>
            </w: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辐照时间</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(小时/年)</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C-1</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50keV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最大350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通常20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restart"/>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直线传输元件的传输效率一般不低于90%，偏转元件传输效率不低于80%。</w:t>
            </w: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8000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2</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C-1</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1-12MeV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最大100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通常10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8000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3</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C-1</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1-12MeV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最大100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通常10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Fe</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厚200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8000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4</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C-1</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1-12MeV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最大100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通常10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Fe</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厚200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8000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5</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C-1</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1-12MeV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通常100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2000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6</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C-2</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电子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1-12MeV</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1.2 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最大100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通常1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1-100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长200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宽200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2000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7</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C-2</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电子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1.2MeV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1-100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长200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宽200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2000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8</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C-5</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电子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1-12MeV</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1MeV</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3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③</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150keV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最大100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通常10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1MeV电子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6.4 mA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3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③</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150keV电子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 nA -1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长200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宽200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3500</w:t>
            </w:r>
          </w:p>
          <w:p w:rsidR="005D50DA" w:rsidRPr="005833AE" w:rsidRDefault="005D50DA" w:rsidP="00E25961">
            <w:pPr>
              <w:adjustRightInd/>
              <w:snapToGrid/>
              <w:jc w:val="center"/>
              <w:rPr>
                <w:rFonts w:ascii="宋体" w:eastAsia="宋体" w:hAnsi="宋体" w:cs="宋体"/>
                <w:kern w:val="2"/>
                <w:sz w:val="24"/>
                <w:szCs w:val="24"/>
              </w:rPr>
            </w:pP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9</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C-4</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电子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①质子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1-12MeV</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②电子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3.5-10MeV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最大100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通常10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10 μA-1 mA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长1000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宽1000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7000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10</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C-4</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电子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3.5-10MeV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最大1000 μA通常100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7000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C-1</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1-12MeV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最大100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通常10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Fe</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厚200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2000</w:t>
            </w:r>
          </w:p>
        </w:tc>
      </w:tr>
      <w:tr w:rsidR="005D50DA" w:rsidRPr="005833AE" w:rsidTr="00E25961">
        <w:trPr>
          <w:trHeight w:val="607"/>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12</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C-1</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1-12MeV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最大100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通常10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2000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13</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C-3</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1-12MeV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 xml:space="preserve"> 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最大100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通常1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Fe</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厚8</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2000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14</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C-6</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电子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4 MeV</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0.6-1.2MeV</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3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③</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50-200keV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4 MeV质子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160 μA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1.2MeV电子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100 μA-10 mA</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3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③</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200keV电子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 mA -50 mA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长1000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宽1000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7000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15</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C-6</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重离子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重离子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0.4-4 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重离子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流强P：160uA@4MeV，C：70uA，Si：80uA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长200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宽200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7000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16</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C-6</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4 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①4 MeV质子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160 μA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Fe</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厚200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7000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17</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C-6</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电子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0.6-1.2MeV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①1.2MeV电子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100 μA-10 mA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Fe</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厚200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7000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18</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C-6</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电子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50-200keV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①200keV电子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 mA -50 mA</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Fe</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厚200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7000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19</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C-7</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X射线</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电子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X射线</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30-80keV</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电子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30-150keV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X射线：30~80keV</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管电流0~1mA可调，X射线管数量6个</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2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②</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电子能量：30-200keV，最大流强：15mA@200keV</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Fe</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长1000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宽1000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3000</w:t>
            </w:r>
          </w:p>
        </w:tc>
      </w:tr>
      <w:tr w:rsidR="005D50DA" w:rsidRPr="005833AE" w:rsidTr="00E25961">
        <w:trPr>
          <w:jc w:val="center"/>
        </w:trPr>
        <w:tc>
          <w:tcPr>
            <w:tcW w:w="735"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20</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C-8</w:t>
            </w:r>
          </w:p>
        </w:tc>
        <w:tc>
          <w:tcPr>
            <w:tcW w:w="709"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集中</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质子</w:t>
            </w:r>
          </w:p>
        </w:tc>
        <w:tc>
          <w:tcPr>
            <w:tcW w:w="110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质子</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30-200 keV</w:t>
            </w:r>
          </w:p>
        </w:tc>
        <w:tc>
          <w:tcPr>
            <w:tcW w:w="1728"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fldChar w:fldCharType="begin"/>
            </w:r>
            <w:r w:rsidRPr="005833AE">
              <w:rPr>
                <w:rFonts w:ascii="宋体" w:eastAsia="宋体" w:hAnsi="宋体" w:cs="宋体" w:hint="eastAsia"/>
                <w:kern w:val="2"/>
                <w:sz w:val="24"/>
                <w:szCs w:val="24"/>
              </w:rPr>
              <w:instrText xml:space="preserve"> = 1 \* GB3 </w:instrText>
            </w:r>
            <w:r w:rsidRPr="005833AE">
              <w:rPr>
                <w:rFonts w:ascii="宋体" w:eastAsia="宋体" w:hAnsi="宋体" w:cs="宋体" w:hint="eastAsia"/>
                <w:kern w:val="2"/>
                <w:sz w:val="24"/>
                <w:szCs w:val="24"/>
              </w:rPr>
              <w:fldChar w:fldCharType="separate"/>
            </w:r>
            <w:r w:rsidRPr="005833AE">
              <w:rPr>
                <w:rFonts w:ascii="宋体" w:eastAsia="宋体" w:hAnsi="宋体" w:cs="宋体" w:hint="eastAsia"/>
                <w:kern w:val="2"/>
                <w:sz w:val="24"/>
                <w:szCs w:val="24"/>
              </w:rPr>
              <w:t>①</w:t>
            </w:r>
            <w:r w:rsidRPr="005833AE">
              <w:rPr>
                <w:rFonts w:ascii="宋体" w:eastAsia="宋体" w:hAnsi="宋体" w:cs="宋体" w:hint="eastAsia"/>
                <w:kern w:val="2"/>
                <w:sz w:val="24"/>
                <w:szCs w:val="24"/>
              </w:rPr>
              <w:fldChar w:fldCharType="end"/>
            </w:r>
            <w:r w:rsidRPr="005833AE">
              <w:rPr>
                <w:rFonts w:ascii="宋体" w:eastAsia="宋体" w:hAnsi="宋体" w:cs="宋体" w:hint="eastAsia"/>
                <w:kern w:val="2"/>
                <w:sz w:val="24"/>
                <w:szCs w:val="24"/>
              </w:rPr>
              <w:t>200 keV质子能量：30keV~230keV；</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流强调节范围：1μA~250μA@200keV</w:t>
            </w:r>
          </w:p>
        </w:tc>
        <w:tc>
          <w:tcPr>
            <w:tcW w:w="72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Cu</w:t>
            </w:r>
          </w:p>
        </w:tc>
        <w:tc>
          <w:tcPr>
            <w:tcW w:w="992"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长200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宽200</w:t>
            </w:r>
          </w:p>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厚10</w:t>
            </w:r>
          </w:p>
        </w:tc>
        <w:tc>
          <w:tcPr>
            <w:tcW w:w="709" w:type="dxa"/>
            <w:vMerge/>
            <w:vAlign w:val="center"/>
          </w:tcPr>
          <w:p w:rsidR="005D50DA" w:rsidRPr="005833AE" w:rsidRDefault="005D50DA" w:rsidP="00E25961">
            <w:pPr>
              <w:adjustRightInd/>
              <w:snapToGrid/>
              <w:jc w:val="center"/>
              <w:rPr>
                <w:rFonts w:ascii="宋体" w:eastAsia="宋体" w:hAnsi="宋体" w:cs="宋体"/>
                <w:kern w:val="2"/>
                <w:sz w:val="24"/>
                <w:szCs w:val="24"/>
              </w:rPr>
            </w:pPr>
          </w:p>
        </w:tc>
        <w:tc>
          <w:tcPr>
            <w:tcW w:w="997" w:type="dxa"/>
            <w:vAlign w:val="center"/>
          </w:tcPr>
          <w:p w:rsidR="005D50DA" w:rsidRPr="005833AE" w:rsidRDefault="005D50DA" w:rsidP="00E25961">
            <w:pPr>
              <w:adjustRightInd/>
              <w:snapToGrid/>
              <w:jc w:val="center"/>
              <w:rPr>
                <w:rFonts w:ascii="宋体" w:eastAsia="宋体" w:hAnsi="宋体" w:cs="宋体"/>
                <w:kern w:val="2"/>
                <w:sz w:val="24"/>
                <w:szCs w:val="24"/>
              </w:rPr>
            </w:pPr>
            <w:r w:rsidRPr="005833AE">
              <w:rPr>
                <w:rFonts w:ascii="宋体" w:eastAsia="宋体" w:hAnsi="宋体" w:cs="宋体" w:hint="eastAsia"/>
                <w:kern w:val="2"/>
                <w:sz w:val="24"/>
                <w:szCs w:val="24"/>
              </w:rPr>
              <w:t>3500</w:t>
            </w:r>
          </w:p>
        </w:tc>
      </w:tr>
    </w:tbl>
    <w:p w:rsidR="005D50DA" w:rsidRPr="005833AE" w:rsidRDefault="005D50DA" w:rsidP="005D50DA">
      <w:pPr>
        <w:adjustRightInd/>
        <w:snapToGrid/>
        <w:spacing w:after="0"/>
        <w:jc w:val="both"/>
        <w:rPr>
          <w:rFonts w:ascii="宋体" w:eastAsia="宋体" w:hAnsi="宋体" w:cs="宋体"/>
          <w:kern w:val="2"/>
          <w:sz w:val="24"/>
          <w:szCs w:val="24"/>
          <w:lang w:eastAsia="en-US" w:bidi="en-US"/>
        </w:rPr>
      </w:pPr>
    </w:p>
    <w:p w:rsidR="005D50DA" w:rsidRPr="005833AE" w:rsidRDefault="005D50DA" w:rsidP="005D50DA">
      <w:pPr>
        <w:adjustRightInd/>
        <w:snapToGrid/>
        <w:spacing w:after="0"/>
        <w:jc w:val="center"/>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表4 6MV串列加速器不同工况下的源项</w:t>
      </w:r>
    </w:p>
    <w:tbl>
      <w:tblPr>
        <w:tblStyle w:val="a7"/>
        <w:tblW w:w="0" w:type="auto"/>
        <w:tblInd w:w="62" w:type="dxa"/>
        <w:tblLook w:val="04A0"/>
      </w:tblPr>
      <w:tblGrid>
        <w:gridCol w:w="1339"/>
        <w:gridCol w:w="1020"/>
        <w:gridCol w:w="6101"/>
      </w:tblGrid>
      <w:tr w:rsidR="005D50DA" w:rsidRPr="005833AE" w:rsidTr="00E25961">
        <w:tc>
          <w:tcPr>
            <w:tcW w:w="1485" w:type="dxa"/>
            <w:vAlign w:val="center"/>
          </w:tcPr>
          <w:p w:rsidR="005D50DA" w:rsidRPr="005833AE" w:rsidRDefault="005D50DA" w:rsidP="00E25961">
            <w:pPr>
              <w:adjustRightInd/>
              <w:snapToGrid/>
              <w:jc w:val="center"/>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工况</w:t>
            </w:r>
          </w:p>
        </w:tc>
        <w:tc>
          <w:tcPr>
            <w:tcW w:w="1113"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分区</w:t>
            </w:r>
          </w:p>
        </w:tc>
        <w:tc>
          <w:tcPr>
            <w:tcW w:w="6897"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源项</w:t>
            </w:r>
          </w:p>
        </w:tc>
      </w:tr>
      <w:tr w:rsidR="005D50DA" w:rsidRPr="005833AE" w:rsidTr="00E25961">
        <w:tc>
          <w:tcPr>
            <w:tcW w:w="1485" w:type="dxa"/>
            <w:vMerge w:val="restart"/>
            <w:vAlign w:val="center"/>
          </w:tcPr>
          <w:p w:rsidR="005D50DA" w:rsidRPr="005833AE" w:rsidRDefault="005D50DA" w:rsidP="00E25961">
            <w:pPr>
              <w:adjustRightInd/>
              <w:snapToGrid/>
              <w:jc w:val="center"/>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调束期</w:t>
            </w:r>
          </w:p>
        </w:tc>
        <w:tc>
          <w:tcPr>
            <w:tcW w:w="1113"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C-1</w:t>
            </w:r>
          </w:p>
        </w:tc>
        <w:tc>
          <w:tcPr>
            <w:tcW w:w="6897"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束损点3,4,11,12全损失。</w:t>
            </w:r>
          </w:p>
        </w:tc>
      </w:tr>
      <w:tr w:rsidR="005D50DA" w:rsidRPr="005833AE" w:rsidTr="00E25961">
        <w:tc>
          <w:tcPr>
            <w:tcW w:w="1485" w:type="dxa"/>
            <w:vMerge/>
            <w:vAlign w:val="center"/>
          </w:tcPr>
          <w:p w:rsidR="005D50DA" w:rsidRPr="005833AE" w:rsidRDefault="005D50DA" w:rsidP="00E25961">
            <w:pPr>
              <w:adjustRightInd/>
              <w:snapToGrid/>
              <w:jc w:val="center"/>
              <w:rPr>
                <w:rFonts w:ascii="宋体" w:eastAsia="宋体" w:hAnsi="宋体" w:cs="宋体"/>
                <w:kern w:val="2"/>
                <w:sz w:val="24"/>
                <w:szCs w:val="24"/>
                <w:lang w:eastAsia="en-US" w:bidi="en-US"/>
              </w:rPr>
            </w:pPr>
          </w:p>
        </w:tc>
        <w:tc>
          <w:tcPr>
            <w:tcW w:w="1113"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C-2</w:t>
            </w:r>
          </w:p>
        </w:tc>
        <w:tc>
          <w:tcPr>
            <w:tcW w:w="6897"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束损点3,4,5全损失，6损失1%。</w:t>
            </w:r>
          </w:p>
        </w:tc>
      </w:tr>
      <w:tr w:rsidR="005D50DA" w:rsidRPr="005833AE" w:rsidTr="00E25961">
        <w:tc>
          <w:tcPr>
            <w:tcW w:w="1485" w:type="dxa"/>
            <w:vMerge/>
            <w:vAlign w:val="center"/>
          </w:tcPr>
          <w:p w:rsidR="005D50DA" w:rsidRPr="005833AE" w:rsidRDefault="005D50DA" w:rsidP="00E25961">
            <w:pPr>
              <w:adjustRightInd/>
              <w:snapToGrid/>
              <w:jc w:val="center"/>
              <w:rPr>
                <w:rFonts w:ascii="宋体" w:eastAsia="宋体" w:hAnsi="宋体" w:cs="宋体"/>
                <w:kern w:val="2"/>
                <w:sz w:val="24"/>
                <w:szCs w:val="24"/>
                <w:lang w:eastAsia="en-US" w:bidi="en-US"/>
              </w:rPr>
            </w:pPr>
          </w:p>
        </w:tc>
        <w:tc>
          <w:tcPr>
            <w:tcW w:w="1113"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C-5</w:t>
            </w:r>
          </w:p>
        </w:tc>
        <w:tc>
          <w:tcPr>
            <w:tcW w:w="6897"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束损点3,4,8全损失。</w:t>
            </w:r>
          </w:p>
        </w:tc>
      </w:tr>
      <w:tr w:rsidR="005D50DA" w:rsidRPr="005833AE" w:rsidTr="00E25961">
        <w:tc>
          <w:tcPr>
            <w:tcW w:w="1485" w:type="dxa"/>
            <w:vMerge/>
            <w:vAlign w:val="center"/>
          </w:tcPr>
          <w:p w:rsidR="005D50DA" w:rsidRPr="005833AE" w:rsidRDefault="005D50DA" w:rsidP="00E25961">
            <w:pPr>
              <w:adjustRightInd/>
              <w:snapToGrid/>
              <w:jc w:val="center"/>
              <w:rPr>
                <w:rFonts w:ascii="宋体" w:eastAsia="宋体" w:hAnsi="宋体" w:cs="宋体"/>
                <w:kern w:val="2"/>
                <w:sz w:val="24"/>
                <w:szCs w:val="24"/>
                <w:lang w:eastAsia="en-US" w:bidi="en-US"/>
              </w:rPr>
            </w:pPr>
          </w:p>
        </w:tc>
        <w:tc>
          <w:tcPr>
            <w:tcW w:w="1113"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C-4</w:t>
            </w:r>
          </w:p>
        </w:tc>
        <w:tc>
          <w:tcPr>
            <w:tcW w:w="6897"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束损点3,9全损失。</w:t>
            </w:r>
          </w:p>
        </w:tc>
      </w:tr>
      <w:tr w:rsidR="005D50DA" w:rsidRPr="005833AE" w:rsidTr="00E25961">
        <w:tc>
          <w:tcPr>
            <w:tcW w:w="1485" w:type="dxa"/>
            <w:vMerge/>
            <w:vAlign w:val="center"/>
          </w:tcPr>
          <w:p w:rsidR="005D50DA" w:rsidRPr="005833AE" w:rsidRDefault="005D50DA" w:rsidP="00E25961">
            <w:pPr>
              <w:adjustRightInd/>
              <w:snapToGrid/>
              <w:jc w:val="center"/>
              <w:rPr>
                <w:rFonts w:ascii="宋体" w:eastAsia="宋体" w:hAnsi="宋体" w:cs="宋体"/>
                <w:kern w:val="2"/>
                <w:sz w:val="24"/>
                <w:szCs w:val="24"/>
                <w:lang w:eastAsia="en-US" w:bidi="en-US"/>
              </w:rPr>
            </w:pPr>
          </w:p>
        </w:tc>
        <w:tc>
          <w:tcPr>
            <w:tcW w:w="1113"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C-3</w:t>
            </w:r>
          </w:p>
        </w:tc>
        <w:tc>
          <w:tcPr>
            <w:tcW w:w="6897"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束损点3,4,11,12全损失，13损失1%。</w:t>
            </w:r>
          </w:p>
        </w:tc>
      </w:tr>
      <w:tr w:rsidR="005D50DA" w:rsidRPr="005833AE" w:rsidTr="00E25961">
        <w:tc>
          <w:tcPr>
            <w:tcW w:w="1485" w:type="dxa"/>
            <w:vMerge w:val="restart"/>
            <w:vAlign w:val="center"/>
          </w:tcPr>
          <w:p w:rsidR="005D50DA" w:rsidRPr="005833AE" w:rsidRDefault="005D50DA" w:rsidP="00E25961">
            <w:pPr>
              <w:adjustRightInd/>
              <w:snapToGrid/>
              <w:jc w:val="center"/>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运行期</w:t>
            </w:r>
          </w:p>
        </w:tc>
        <w:tc>
          <w:tcPr>
            <w:tcW w:w="1113"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C-2</w:t>
            </w:r>
          </w:p>
        </w:tc>
        <w:tc>
          <w:tcPr>
            <w:tcW w:w="6897"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正常工况：束损点4损失&lt;10%，束损点5损失&lt;100%，束损点6损失&lt;1%；</w:t>
            </w:r>
          </w:p>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事故工况：束损点4,11,8损失100%。</w:t>
            </w:r>
          </w:p>
        </w:tc>
      </w:tr>
      <w:tr w:rsidR="005D50DA" w:rsidRPr="005833AE" w:rsidTr="00E25961">
        <w:tc>
          <w:tcPr>
            <w:tcW w:w="1485" w:type="dxa"/>
            <w:vMerge/>
          </w:tcPr>
          <w:p w:rsidR="005D50DA" w:rsidRPr="005833AE" w:rsidRDefault="005D50DA" w:rsidP="00E25961">
            <w:pPr>
              <w:adjustRightInd/>
              <w:snapToGrid/>
              <w:rPr>
                <w:rFonts w:ascii="宋体" w:eastAsia="宋体" w:hAnsi="宋体" w:cs="宋体"/>
                <w:kern w:val="2"/>
                <w:sz w:val="24"/>
                <w:szCs w:val="24"/>
                <w:lang w:eastAsia="en-US" w:bidi="en-US"/>
              </w:rPr>
            </w:pPr>
          </w:p>
        </w:tc>
        <w:tc>
          <w:tcPr>
            <w:tcW w:w="1113"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C-5</w:t>
            </w:r>
          </w:p>
        </w:tc>
        <w:tc>
          <w:tcPr>
            <w:tcW w:w="6897"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正常工况：束损点4损失&lt;10%，束损点8损失&lt;100%；</w:t>
            </w:r>
          </w:p>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事故工况：束损点4,5,11损失100%。</w:t>
            </w:r>
          </w:p>
        </w:tc>
      </w:tr>
      <w:tr w:rsidR="005D50DA" w:rsidRPr="005833AE" w:rsidTr="00E25961">
        <w:tc>
          <w:tcPr>
            <w:tcW w:w="1485" w:type="dxa"/>
            <w:vMerge/>
          </w:tcPr>
          <w:p w:rsidR="005D50DA" w:rsidRPr="005833AE" w:rsidRDefault="005D50DA" w:rsidP="00E25961">
            <w:pPr>
              <w:adjustRightInd/>
              <w:snapToGrid/>
              <w:rPr>
                <w:rFonts w:ascii="宋体" w:eastAsia="宋体" w:hAnsi="宋体" w:cs="宋体"/>
                <w:kern w:val="2"/>
                <w:sz w:val="24"/>
                <w:szCs w:val="24"/>
                <w:lang w:eastAsia="en-US" w:bidi="en-US"/>
              </w:rPr>
            </w:pPr>
          </w:p>
        </w:tc>
        <w:tc>
          <w:tcPr>
            <w:tcW w:w="1113"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C-4</w:t>
            </w:r>
          </w:p>
        </w:tc>
        <w:tc>
          <w:tcPr>
            <w:tcW w:w="6897"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正常工况：束损点3损失&lt;10%，束损点9损失&lt;100%；</w:t>
            </w:r>
          </w:p>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事故工况：束损点11损失100%。</w:t>
            </w:r>
          </w:p>
        </w:tc>
      </w:tr>
      <w:tr w:rsidR="005D50DA" w:rsidRPr="005833AE" w:rsidTr="00E25961">
        <w:tc>
          <w:tcPr>
            <w:tcW w:w="1485" w:type="dxa"/>
            <w:vMerge/>
          </w:tcPr>
          <w:p w:rsidR="005D50DA" w:rsidRPr="005833AE" w:rsidRDefault="005D50DA" w:rsidP="00E25961">
            <w:pPr>
              <w:adjustRightInd/>
              <w:snapToGrid/>
              <w:rPr>
                <w:rFonts w:ascii="宋体" w:eastAsia="宋体" w:hAnsi="宋体" w:cs="宋体"/>
                <w:kern w:val="2"/>
                <w:sz w:val="24"/>
                <w:szCs w:val="24"/>
                <w:lang w:eastAsia="en-US" w:bidi="en-US"/>
              </w:rPr>
            </w:pPr>
          </w:p>
        </w:tc>
        <w:tc>
          <w:tcPr>
            <w:tcW w:w="1113"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C-3</w:t>
            </w:r>
          </w:p>
        </w:tc>
        <w:tc>
          <w:tcPr>
            <w:tcW w:w="6897" w:type="dxa"/>
          </w:tcPr>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正常工况：束损点11损失&lt;10%，束损点12损失&lt;100%，束损点13损失&lt;1%；</w:t>
            </w:r>
          </w:p>
          <w:p w:rsidR="005D50DA" w:rsidRPr="005833AE" w:rsidRDefault="005D50DA" w:rsidP="00E25961">
            <w:pPr>
              <w:adjustRightInd/>
              <w:snapToGrid/>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事故工况：束损点11损失100%。</w:t>
            </w:r>
          </w:p>
        </w:tc>
      </w:tr>
    </w:tbl>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方正黑体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3A1A0CB"/>
    <w:multiLevelType w:val="singleLevel"/>
    <w:tmpl w:val="C3A1A0CB"/>
    <w:lvl w:ilvl="0">
      <w:start w:val="1"/>
      <w:numFmt w:val="bullet"/>
      <w:pStyle w:val="3"/>
      <w:lvlText w:val=""/>
      <w:lvlJc w:val="left"/>
      <w:pPr>
        <w:tabs>
          <w:tab w:val="left" w:pos="1200"/>
        </w:tabs>
        <w:ind w:left="1200" w:hanging="360"/>
      </w:pPr>
      <w:rPr>
        <w:rFonts w:ascii="Wingdings" w:hAnsi="Wingdings" w:hint="default"/>
      </w:rPr>
    </w:lvl>
  </w:abstractNum>
  <w:abstractNum w:abstractNumId="1">
    <w:nsid w:val="00000022"/>
    <w:multiLevelType w:val="multilevel"/>
    <w:tmpl w:val="00000022"/>
    <w:lvl w:ilvl="0">
      <w:start w:val="1"/>
      <w:numFmt w:val="chineseCountingThousand"/>
      <w:suff w:val="nothing"/>
      <w:lvlText w:val="第%1章"/>
      <w:lvlJc w:val="left"/>
      <w:pPr>
        <w:ind w:left="0" w:firstLine="0"/>
      </w:pPr>
    </w:lvl>
    <w:lvl w:ilvl="1">
      <w:start w:val="1"/>
      <w:numFmt w:val="none"/>
      <w:pStyle w:val="2"/>
      <w:suff w:val="nothing"/>
      <w:lvlText w:val=""/>
      <w:lvlJc w:val="left"/>
      <w:pPr>
        <w:ind w:left="0" w:firstLine="0"/>
      </w:pPr>
    </w:lvl>
    <w:lvl w:ilvl="2">
      <w:start w:val="1"/>
      <w:numFmt w:val="none"/>
      <w:pStyle w:val="30"/>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097159E9"/>
    <w:multiLevelType w:val="multilevel"/>
    <w:tmpl w:val="097159E9"/>
    <w:lvl w:ilvl="0">
      <w:start w:val="3"/>
      <w:numFmt w:val="decimal"/>
      <w:lvlText w:val="%1."/>
      <w:lvlJc w:val="left"/>
      <w:pPr>
        <w:tabs>
          <w:tab w:val="left" w:pos="840"/>
        </w:tabs>
        <w:ind w:left="840" w:hanging="840"/>
      </w:pPr>
    </w:lvl>
    <w:lvl w:ilvl="1">
      <w:start w:val="1"/>
      <w:numFmt w:val="decimal"/>
      <w:isLgl/>
      <w:lvlText w:val="%1.%2"/>
      <w:lvlJc w:val="left"/>
      <w:pPr>
        <w:tabs>
          <w:tab w:val="left" w:pos="840"/>
        </w:tabs>
        <w:ind w:left="840" w:hanging="840"/>
      </w:pPr>
    </w:lvl>
    <w:lvl w:ilvl="2">
      <w:start w:val="1"/>
      <w:numFmt w:val="decimal"/>
      <w:isLgl/>
      <w:lvlText w:val="%1.%2.%3"/>
      <w:lvlJc w:val="left"/>
      <w:pPr>
        <w:tabs>
          <w:tab w:val="left" w:pos="840"/>
        </w:tabs>
        <w:ind w:left="840" w:hanging="840"/>
      </w:pPr>
    </w:lvl>
    <w:lvl w:ilvl="3">
      <w:start w:val="1"/>
      <w:numFmt w:val="decimal"/>
      <w:isLgl/>
      <w:lvlText w:val="%1.%2.%3.%4"/>
      <w:lvlJc w:val="left"/>
      <w:pPr>
        <w:tabs>
          <w:tab w:val="left" w:pos="840"/>
        </w:tabs>
        <w:ind w:left="840" w:hanging="840"/>
      </w:pPr>
    </w:lvl>
    <w:lvl w:ilvl="4">
      <w:start w:val="1"/>
      <w:numFmt w:val="decimal"/>
      <w:isLgl/>
      <w:lvlText w:val="%1.%2.%3.%4.%5"/>
      <w:lvlJc w:val="left"/>
      <w:pPr>
        <w:tabs>
          <w:tab w:val="left" w:pos="840"/>
        </w:tabs>
        <w:ind w:left="840" w:hanging="840"/>
      </w:pPr>
    </w:lvl>
    <w:lvl w:ilvl="5">
      <w:start w:val="1"/>
      <w:numFmt w:val="decimal"/>
      <w:isLgl/>
      <w:lvlText w:val="%1.%2.%3.%4.%5.%6"/>
      <w:lvlJc w:val="left"/>
      <w:pPr>
        <w:tabs>
          <w:tab w:val="left" w:pos="840"/>
        </w:tabs>
        <w:ind w:left="840" w:hanging="840"/>
      </w:pPr>
    </w:lvl>
    <w:lvl w:ilvl="6">
      <w:start w:val="1"/>
      <w:numFmt w:val="decimal"/>
      <w:isLgl/>
      <w:lvlText w:val="%1.%2.%3.%4.%5.%6.%7"/>
      <w:lvlJc w:val="left"/>
      <w:pPr>
        <w:tabs>
          <w:tab w:val="left" w:pos="840"/>
        </w:tabs>
        <w:ind w:left="840" w:hanging="840"/>
      </w:pPr>
    </w:lvl>
    <w:lvl w:ilvl="7">
      <w:start w:val="1"/>
      <w:numFmt w:val="decimal"/>
      <w:isLgl/>
      <w:lvlText w:val="%1.%2.%3.%4.%5.%6.%7.%8"/>
      <w:lvlJc w:val="left"/>
      <w:pPr>
        <w:tabs>
          <w:tab w:val="left" w:pos="840"/>
        </w:tabs>
        <w:ind w:left="840" w:hanging="840"/>
      </w:pPr>
    </w:lvl>
    <w:lvl w:ilvl="8">
      <w:start w:val="1"/>
      <w:numFmt w:val="decimal"/>
      <w:isLgl/>
      <w:lvlText w:val="%1.%2.%3.%4.%5.%6.%7.%8.%9"/>
      <w:lvlJc w:val="left"/>
      <w:pPr>
        <w:tabs>
          <w:tab w:val="left" w:pos="840"/>
        </w:tabs>
        <w:ind w:left="840" w:hanging="840"/>
      </w:pPr>
    </w:lvl>
  </w:abstractNum>
  <w:abstractNum w:abstractNumId="3">
    <w:nsid w:val="0AD00BBD"/>
    <w:multiLevelType w:val="multilevel"/>
    <w:tmpl w:val="0AD00BBD"/>
    <w:lvl w:ilvl="0">
      <w:start w:val="4"/>
      <w:numFmt w:val="decimal"/>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
    <w:nsid w:val="0B1F5157"/>
    <w:multiLevelType w:val="multilevel"/>
    <w:tmpl w:val="0B1F5157"/>
    <w:lvl w:ilvl="0">
      <w:start w:val="1"/>
      <w:numFmt w:val="decimal"/>
      <w:lvlText w:val="%1."/>
      <w:lvlJc w:val="left"/>
      <w:pPr>
        <w:tabs>
          <w:tab w:val="left" w:pos="840"/>
        </w:tabs>
        <w:ind w:left="840" w:hanging="840"/>
      </w:pPr>
    </w:lvl>
    <w:lvl w:ilvl="1">
      <w:start w:val="1"/>
      <w:numFmt w:val="decimal"/>
      <w:isLgl/>
      <w:lvlText w:val="%1.%2"/>
      <w:lvlJc w:val="left"/>
      <w:pPr>
        <w:tabs>
          <w:tab w:val="left" w:pos="840"/>
        </w:tabs>
        <w:ind w:left="840" w:hanging="840"/>
      </w:pPr>
    </w:lvl>
    <w:lvl w:ilvl="2">
      <w:start w:val="1"/>
      <w:numFmt w:val="decimal"/>
      <w:isLgl/>
      <w:lvlText w:val="%1.%2.%3"/>
      <w:lvlJc w:val="left"/>
      <w:pPr>
        <w:tabs>
          <w:tab w:val="left" w:pos="840"/>
        </w:tabs>
        <w:ind w:left="840" w:hanging="840"/>
      </w:pPr>
    </w:lvl>
    <w:lvl w:ilvl="3">
      <w:start w:val="1"/>
      <w:numFmt w:val="decimal"/>
      <w:isLgl/>
      <w:lvlText w:val="%1.%2.%3.%4"/>
      <w:lvlJc w:val="left"/>
      <w:pPr>
        <w:tabs>
          <w:tab w:val="left" w:pos="840"/>
        </w:tabs>
        <w:ind w:left="840" w:hanging="840"/>
      </w:pPr>
    </w:lvl>
    <w:lvl w:ilvl="4">
      <w:start w:val="1"/>
      <w:numFmt w:val="decimal"/>
      <w:isLgl/>
      <w:lvlText w:val="%1.%2.%3.%4.%5"/>
      <w:lvlJc w:val="left"/>
      <w:pPr>
        <w:tabs>
          <w:tab w:val="left" w:pos="840"/>
        </w:tabs>
        <w:ind w:left="840" w:hanging="840"/>
      </w:pPr>
    </w:lvl>
    <w:lvl w:ilvl="5">
      <w:start w:val="1"/>
      <w:numFmt w:val="decimal"/>
      <w:isLgl/>
      <w:lvlText w:val="%1.%2.%3.%4.%5.%6"/>
      <w:lvlJc w:val="left"/>
      <w:pPr>
        <w:tabs>
          <w:tab w:val="left" w:pos="840"/>
        </w:tabs>
        <w:ind w:left="840" w:hanging="840"/>
      </w:pPr>
    </w:lvl>
    <w:lvl w:ilvl="6">
      <w:start w:val="1"/>
      <w:numFmt w:val="decimal"/>
      <w:isLgl/>
      <w:lvlText w:val="%1.%2.%3.%4.%5.%6.%7"/>
      <w:lvlJc w:val="left"/>
      <w:pPr>
        <w:tabs>
          <w:tab w:val="left" w:pos="840"/>
        </w:tabs>
        <w:ind w:left="840" w:hanging="840"/>
      </w:pPr>
    </w:lvl>
    <w:lvl w:ilvl="7">
      <w:start w:val="1"/>
      <w:numFmt w:val="decimal"/>
      <w:isLgl/>
      <w:lvlText w:val="%1.%2.%3.%4.%5.%6.%7.%8"/>
      <w:lvlJc w:val="left"/>
      <w:pPr>
        <w:tabs>
          <w:tab w:val="left" w:pos="840"/>
        </w:tabs>
        <w:ind w:left="840" w:hanging="840"/>
      </w:pPr>
    </w:lvl>
    <w:lvl w:ilvl="8">
      <w:start w:val="1"/>
      <w:numFmt w:val="decimal"/>
      <w:isLgl/>
      <w:lvlText w:val="%1.%2.%3.%4.%5.%6.%7.%8.%9"/>
      <w:lvlJc w:val="left"/>
      <w:pPr>
        <w:tabs>
          <w:tab w:val="left" w:pos="840"/>
        </w:tabs>
        <w:ind w:left="840" w:hanging="840"/>
      </w:pPr>
    </w:lvl>
  </w:abstractNum>
  <w:abstractNum w:abstractNumId="5">
    <w:nsid w:val="19CD133F"/>
    <w:multiLevelType w:val="multilevel"/>
    <w:tmpl w:val="19CD133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86C6030"/>
    <w:multiLevelType w:val="multilevel"/>
    <w:tmpl w:val="286C6030"/>
    <w:lvl w:ilvl="0">
      <w:start w:val="1"/>
      <w:numFmt w:val="bullet"/>
      <w:lvlText w:val=""/>
      <w:lvlJc w:val="left"/>
      <w:pPr>
        <w:ind w:left="1740" w:hanging="420"/>
      </w:pPr>
      <w:rPr>
        <w:rFonts w:ascii="Wingdings" w:hAnsi="Wingdings" w:hint="default"/>
      </w:rPr>
    </w:lvl>
    <w:lvl w:ilvl="1">
      <w:start w:val="1"/>
      <w:numFmt w:val="bullet"/>
      <w:lvlText w:val=""/>
      <w:lvlJc w:val="left"/>
      <w:pPr>
        <w:ind w:left="2160" w:hanging="420"/>
      </w:pPr>
      <w:rPr>
        <w:rFonts w:ascii="Wingdings" w:hAnsi="Wingdings" w:hint="default"/>
      </w:rPr>
    </w:lvl>
    <w:lvl w:ilvl="2">
      <w:start w:val="1"/>
      <w:numFmt w:val="bullet"/>
      <w:lvlText w:val=""/>
      <w:lvlJc w:val="left"/>
      <w:pPr>
        <w:ind w:left="2580" w:hanging="420"/>
      </w:pPr>
      <w:rPr>
        <w:rFonts w:ascii="Wingdings" w:hAnsi="Wingdings" w:hint="default"/>
      </w:rPr>
    </w:lvl>
    <w:lvl w:ilvl="3">
      <w:start w:val="1"/>
      <w:numFmt w:val="bullet"/>
      <w:lvlText w:val=""/>
      <w:lvlJc w:val="left"/>
      <w:pPr>
        <w:ind w:left="3000" w:hanging="420"/>
      </w:pPr>
      <w:rPr>
        <w:rFonts w:ascii="Wingdings" w:hAnsi="Wingdings" w:hint="default"/>
      </w:rPr>
    </w:lvl>
    <w:lvl w:ilvl="4">
      <w:start w:val="1"/>
      <w:numFmt w:val="bullet"/>
      <w:lvlText w:val=""/>
      <w:lvlJc w:val="left"/>
      <w:pPr>
        <w:ind w:left="3420" w:hanging="420"/>
      </w:pPr>
      <w:rPr>
        <w:rFonts w:ascii="Wingdings" w:hAnsi="Wingdings" w:hint="default"/>
      </w:rPr>
    </w:lvl>
    <w:lvl w:ilvl="5">
      <w:start w:val="1"/>
      <w:numFmt w:val="bullet"/>
      <w:lvlText w:val=""/>
      <w:lvlJc w:val="left"/>
      <w:pPr>
        <w:ind w:left="3840" w:hanging="420"/>
      </w:pPr>
      <w:rPr>
        <w:rFonts w:ascii="Wingdings" w:hAnsi="Wingdings" w:hint="default"/>
      </w:rPr>
    </w:lvl>
    <w:lvl w:ilvl="6">
      <w:start w:val="1"/>
      <w:numFmt w:val="bullet"/>
      <w:lvlText w:val=""/>
      <w:lvlJc w:val="left"/>
      <w:pPr>
        <w:ind w:left="4260" w:hanging="420"/>
      </w:pPr>
      <w:rPr>
        <w:rFonts w:ascii="Wingdings" w:hAnsi="Wingdings" w:hint="default"/>
      </w:rPr>
    </w:lvl>
    <w:lvl w:ilvl="7">
      <w:start w:val="1"/>
      <w:numFmt w:val="bullet"/>
      <w:lvlText w:val=""/>
      <w:lvlJc w:val="left"/>
      <w:pPr>
        <w:ind w:left="4680" w:hanging="420"/>
      </w:pPr>
      <w:rPr>
        <w:rFonts w:ascii="Wingdings" w:hAnsi="Wingdings" w:hint="default"/>
      </w:rPr>
    </w:lvl>
    <w:lvl w:ilvl="8">
      <w:start w:val="1"/>
      <w:numFmt w:val="bullet"/>
      <w:lvlText w:val=""/>
      <w:lvlJc w:val="left"/>
      <w:pPr>
        <w:ind w:left="5100" w:hanging="420"/>
      </w:pPr>
      <w:rPr>
        <w:rFonts w:ascii="Wingdings" w:hAnsi="Wingdings" w:hint="default"/>
      </w:rPr>
    </w:lvl>
  </w:abstractNum>
  <w:abstractNum w:abstractNumId="7">
    <w:nsid w:val="356C2E8F"/>
    <w:multiLevelType w:val="multilevel"/>
    <w:tmpl w:val="356C2E8F"/>
    <w:lvl w:ilvl="0">
      <w:start w:val="1"/>
      <w:numFmt w:val="decimal"/>
      <w:lvlText w:val="%1、"/>
      <w:lvlJc w:val="left"/>
      <w:pPr>
        <w:ind w:left="840" w:hanging="420"/>
      </w:pPr>
      <w:rPr>
        <w:b w:val="0"/>
        <w:i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3A330705"/>
    <w:multiLevelType w:val="multilevel"/>
    <w:tmpl w:val="3A330705"/>
    <w:lvl w:ilvl="0">
      <w:start w:val="1"/>
      <w:numFmt w:val="decimal"/>
      <w:lvlText w:val="（%1）"/>
      <w:lvlJc w:val="left"/>
      <w:pPr>
        <w:ind w:left="1862" w:hanging="720"/>
      </w:pPr>
      <w:rPr>
        <w:rFonts w:hint="default"/>
      </w:rPr>
    </w:lvl>
    <w:lvl w:ilvl="1">
      <w:start w:val="1"/>
      <w:numFmt w:val="lowerLetter"/>
      <w:lvlText w:val="%2)"/>
      <w:lvlJc w:val="left"/>
      <w:pPr>
        <w:ind w:left="1982" w:hanging="420"/>
      </w:pPr>
    </w:lvl>
    <w:lvl w:ilvl="2">
      <w:start w:val="1"/>
      <w:numFmt w:val="lowerRoman"/>
      <w:lvlText w:val="%3."/>
      <w:lvlJc w:val="right"/>
      <w:pPr>
        <w:ind w:left="2402" w:hanging="420"/>
      </w:pPr>
    </w:lvl>
    <w:lvl w:ilvl="3">
      <w:start w:val="1"/>
      <w:numFmt w:val="decimal"/>
      <w:lvlText w:val="%4."/>
      <w:lvlJc w:val="left"/>
      <w:pPr>
        <w:ind w:left="2822" w:hanging="420"/>
      </w:pPr>
    </w:lvl>
    <w:lvl w:ilvl="4">
      <w:start w:val="1"/>
      <w:numFmt w:val="lowerLetter"/>
      <w:lvlText w:val="%5)"/>
      <w:lvlJc w:val="left"/>
      <w:pPr>
        <w:ind w:left="3242" w:hanging="420"/>
      </w:pPr>
    </w:lvl>
    <w:lvl w:ilvl="5">
      <w:start w:val="1"/>
      <w:numFmt w:val="lowerRoman"/>
      <w:lvlText w:val="%6."/>
      <w:lvlJc w:val="right"/>
      <w:pPr>
        <w:ind w:left="3662" w:hanging="420"/>
      </w:pPr>
    </w:lvl>
    <w:lvl w:ilvl="6">
      <w:start w:val="1"/>
      <w:numFmt w:val="decimal"/>
      <w:lvlText w:val="%7."/>
      <w:lvlJc w:val="left"/>
      <w:pPr>
        <w:ind w:left="4082" w:hanging="420"/>
      </w:pPr>
    </w:lvl>
    <w:lvl w:ilvl="7">
      <w:start w:val="1"/>
      <w:numFmt w:val="lowerLetter"/>
      <w:lvlText w:val="%8)"/>
      <w:lvlJc w:val="left"/>
      <w:pPr>
        <w:ind w:left="4502" w:hanging="420"/>
      </w:pPr>
    </w:lvl>
    <w:lvl w:ilvl="8">
      <w:start w:val="1"/>
      <w:numFmt w:val="lowerRoman"/>
      <w:lvlText w:val="%9."/>
      <w:lvlJc w:val="right"/>
      <w:pPr>
        <w:ind w:left="4922" w:hanging="420"/>
      </w:pPr>
    </w:lvl>
  </w:abstractNum>
  <w:abstractNum w:abstractNumId="9">
    <w:nsid w:val="3C08488E"/>
    <w:multiLevelType w:val="multilevel"/>
    <w:tmpl w:val="3C08488E"/>
    <w:lvl w:ilvl="0">
      <w:start w:val="1"/>
      <w:numFmt w:val="decimal"/>
      <w:lvlText w:val="%1."/>
      <w:lvlJc w:val="left"/>
      <w:pPr>
        <w:ind w:left="782" w:hanging="360"/>
      </w:pPr>
      <w:rPr>
        <w:rFonts w:hint="default"/>
      </w:rPr>
    </w:lvl>
    <w:lvl w:ilvl="1">
      <w:start w:val="2"/>
      <w:numFmt w:val="decimal"/>
      <w:isLgl/>
      <w:lvlText w:val="%1.%2"/>
      <w:lvlJc w:val="left"/>
      <w:pPr>
        <w:ind w:left="782" w:hanging="360"/>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10">
    <w:nsid w:val="3ED81736"/>
    <w:multiLevelType w:val="multilevel"/>
    <w:tmpl w:val="3ED81736"/>
    <w:lvl w:ilvl="0">
      <w:start w:val="1"/>
      <w:numFmt w:val="decimal"/>
      <w:lvlText w:val="（%1）"/>
      <w:lvlJc w:val="left"/>
      <w:pPr>
        <w:ind w:left="1502" w:hanging="720"/>
      </w:pPr>
      <w:rPr>
        <w:rFonts w:hint="default"/>
      </w:rPr>
    </w:lvl>
    <w:lvl w:ilvl="1">
      <w:start w:val="1"/>
      <w:numFmt w:val="lowerLetter"/>
      <w:lvlText w:val="%2)"/>
      <w:lvlJc w:val="left"/>
      <w:pPr>
        <w:ind w:left="1622" w:hanging="420"/>
      </w:pPr>
    </w:lvl>
    <w:lvl w:ilvl="2">
      <w:start w:val="1"/>
      <w:numFmt w:val="lowerRoman"/>
      <w:lvlText w:val="%3."/>
      <w:lvlJc w:val="right"/>
      <w:pPr>
        <w:ind w:left="2042" w:hanging="420"/>
      </w:pPr>
    </w:lvl>
    <w:lvl w:ilvl="3">
      <w:start w:val="1"/>
      <w:numFmt w:val="decimal"/>
      <w:lvlText w:val="%4."/>
      <w:lvlJc w:val="left"/>
      <w:pPr>
        <w:ind w:left="2462" w:hanging="420"/>
      </w:pPr>
    </w:lvl>
    <w:lvl w:ilvl="4">
      <w:start w:val="1"/>
      <w:numFmt w:val="lowerLetter"/>
      <w:lvlText w:val="%5)"/>
      <w:lvlJc w:val="left"/>
      <w:pPr>
        <w:ind w:left="2882" w:hanging="420"/>
      </w:pPr>
    </w:lvl>
    <w:lvl w:ilvl="5">
      <w:start w:val="1"/>
      <w:numFmt w:val="lowerRoman"/>
      <w:lvlText w:val="%6."/>
      <w:lvlJc w:val="right"/>
      <w:pPr>
        <w:ind w:left="3302" w:hanging="420"/>
      </w:pPr>
    </w:lvl>
    <w:lvl w:ilvl="6">
      <w:start w:val="1"/>
      <w:numFmt w:val="decimal"/>
      <w:lvlText w:val="%7."/>
      <w:lvlJc w:val="left"/>
      <w:pPr>
        <w:ind w:left="3722" w:hanging="420"/>
      </w:pPr>
    </w:lvl>
    <w:lvl w:ilvl="7">
      <w:start w:val="1"/>
      <w:numFmt w:val="lowerLetter"/>
      <w:lvlText w:val="%8)"/>
      <w:lvlJc w:val="left"/>
      <w:pPr>
        <w:ind w:left="4142" w:hanging="420"/>
      </w:pPr>
    </w:lvl>
    <w:lvl w:ilvl="8">
      <w:start w:val="1"/>
      <w:numFmt w:val="lowerRoman"/>
      <w:lvlText w:val="%9."/>
      <w:lvlJc w:val="right"/>
      <w:pPr>
        <w:ind w:left="4562" w:hanging="420"/>
      </w:pPr>
    </w:lvl>
  </w:abstractNum>
  <w:abstractNum w:abstractNumId="11">
    <w:nsid w:val="509C4918"/>
    <w:multiLevelType w:val="multilevel"/>
    <w:tmpl w:val="509C4918"/>
    <w:lvl w:ilvl="0">
      <w:start w:val="1"/>
      <w:numFmt w:val="decimal"/>
      <w:lvlText w:val="%1、"/>
      <w:lvlJc w:val="left"/>
      <w:pPr>
        <w:tabs>
          <w:tab w:val="left" w:pos="720"/>
        </w:tabs>
        <w:ind w:left="720" w:hanging="720"/>
      </w:pPr>
    </w:lvl>
    <w:lvl w:ilvl="1">
      <w:start w:val="1"/>
      <w:numFmt w:val="decimal"/>
      <w:lvlText w:val="（%2）"/>
      <w:lvlJc w:val="left"/>
      <w:pPr>
        <w:tabs>
          <w:tab w:val="left" w:pos="1140"/>
        </w:tabs>
        <w:ind w:left="114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5216629E"/>
    <w:multiLevelType w:val="multilevel"/>
    <w:tmpl w:val="5216629E"/>
    <w:lvl w:ilvl="0">
      <w:start w:val="1"/>
      <w:numFmt w:val="decimal"/>
      <w:isLgl/>
      <w:suff w:val="nothing"/>
      <w:lvlText w:val="%1　"/>
      <w:lvlJc w:val="left"/>
      <w:pPr>
        <w:ind w:left="993"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1844"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decimalEnclosedParen"/>
      <w:pStyle w:val="a"/>
      <w:lvlText w:val="%7"/>
      <w:lvlJc w:val="left"/>
      <w:pPr>
        <w:tabs>
          <w:tab w:val="left" w:pos="635"/>
        </w:tabs>
        <w:ind w:left="-125" w:firstLine="400"/>
      </w:pPr>
      <w:rPr>
        <w:rFonts w:ascii="宋体" w:eastAsia="宋体" w:hAnsi="Times New Roman" w:cs="Times New Roman"/>
        <w:b/>
        <w:i w:val="0"/>
        <w:color w:val="auto"/>
        <w:sz w:val="28"/>
        <w:u w:val="none"/>
      </w:rPr>
    </w:lvl>
    <w:lvl w:ilvl="7">
      <w:start w:val="1"/>
      <w:numFmt w:val="decimal"/>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3">
    <w:nsid w:val="5F8A7FE5"/>
    <w:multiLevelType w:val="multilevel"/>
    <w:tmpl w:val="5F8A7FE5"/>
    <w:lvl w:ilvl="0">
      <w:start w:val="1"/>
      <w:numFmt w:val="decimal"/>
      <w:lvlText w:val="（%1）"/>
      <w:lvlJc w:val="left"/>
      <w:pPr>
        <w:ind w:left="1862" w:hanging="720"/>
      </w:pPr>
      <w:rPr>
        <w:rFonts w:hint="default"/>
      </w:rPr>
    </w:lvl>
    <w:lvl w:ilvl="1">
      <w:start w:val="1"/>
      <w:numFmt w:val="lowerLetter"/>
      <w:lvlText w:val="%2)"/>
      <w:lvlJc w:val="left"/>
      <w:pPr>
        <w:ind w:left="1982" w:hanging="420"/>
      </w:pPr>
    </w:lvl>
    <w:lvl w:ilvl="2">
      <w:start w:val="1"/>
      <w:numFmt w:val="lowerRoman"/>
      <w:lvlText w:val="%3."/>
      <w:lvlJc w:val="right"/>
      <w:pPr>
        <w:ind w:left="2402" w:hanging="420"/>
      </w:pPr>
    </w:lvl>
    <w:lvl w:ilvl="3">
      <w:start w:val="1"/>
      <w:numFmt w:val="decimal"/>
      <w:lvlText w:val="%4."/>
      <w:lvlJc w:val="left"/>
      <w:pPr>
        <w:ind w:left="2822" w:hanging="420"/>
      </w:pPr>
    </w:lvl>
    <w:lvl w:ilvl="4">
      <w:start w:val="1"/>
      <w:numFmt w:val="lowerLetter"/>
      <w:lvlText w:val="%5)"/>
      <w:lvlJc w:val="left"/>
      <w:pPr>
        <w:ind w:left="3242" w:hanging="420"/>
      </w:pPr>
    </w:lvl>
    <w:lvl w:ilvl="5">
      <w:start w:val="1"/>
      <w:numFmt w:val="lowerRoman"/>
      <w:lvlText w:val="%6."/>
      <w:lvlJc w:val="right"/>
      <w:pPr>
        <w:ind w:left="3662" w:hanging="420"/>
      </w:pPr>
    </w:lvl>
    <w:lvl w:ilvl="6">
      <w:start w:val="1"/>
      <w:numFmt w:val="decimal"/>
      <w:lvlText w:val="%7."/>
      <w:lvlJc w:val="left"/>
      <w:pPr>
        <w:ind w:left="4082" w:hanging="420"/>
      </w:pPr>
    </w:lvl>
    <w:lvl w:ilvl="7">
      <w:start w:val="1"/>
      <w:numFmt w:val="lowerLetter"/>
      <w:lvlText w:val="%8)"/>
      <w:lvlJc w:val="left"/>
      <w:pPr>
        <w:ind w:left="4502" w:hanging="420"/>
      </w:pPr>
    </w:lvl>
    <w:lvl w:ilvl="8">
      <w:start w:val="1"/>
      <w:numFmt w:val="lowerRoman"/>
      <w:lvlText w:val="%9."/>
      <w:lvlJc w:val="right"/>
      <w:pPr>
        <w:ind w:left="4922" w:hanging="420"/>
      </w:pPr>
    </w:lvl>
  </w:abstractNum>
  <w:abstractNum w:abstractNumId="14">
    <w:nsid w:val="6C512A99"/>
    <w:multiLevelType w:val="multilevel"/>
    <w:tmpl w:val="6C512A99"/>
    <w:lvl w:ilvl="0">
      <w:start w:val="1"/>
      <w:numFmt w:val="lowerLetter"/>
      <w:lvlText w:val="%1)"/>
      <w:lvlJc w:val="left"/>
      <w:pPr>
        <w:tabs>
          <w:tab w:val="left" w:pos="1400"/>
        </w:tabs>
        <w:ind w:left="1400" w:hanging="420"/>
      </w:pPr>
      <w:rPr>
        <w:rFonts w:ascii="Times New Roman" w:hAnsi="Times New Roman" w:cs="Times New Roman" w:hint="default"/>
        <w:b/>
      </w:rPr>
    </w:lvl>
    <w:lvl w:ilvl="1">
      <w:start w:val="1"/>
      <w:numFmt w:val="lowerLetter"/>
      <w:lvlText w:val="%2)"/>
      <w:lvlJc w:val="left"/>
      <w:pPr>
        <w:tabs>
          <w:tab w:val="left" w:pos="846"/>
        </w:tabs>
        <w:ind w:left="846"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15">
    <w:nsid w:val="7074468B"/>
    <w:multiLevelType w:val="singleLevel"/>
    <w:tmpl w:val="7074468B"/>
    <w:lvl w:ilvl="0">
      <w:start w:val="3"/>
      <w:numFmt w:val="chineseCounting"/>
      <w:suff w:val="space"/>
      <w:lvlText w:val="第%1章"/>
      <w:lvlJc w:val="left"/>
      <w:rPr>
        <w:rFonts w:hint="eastAsia"/>
      </w:rPr>
    </w:lvl>
  </w:abstractNum>
  <w:num w:numId="1">
    <w:abstractNumId w:val="1"/>
  </w:num>
  <w:num w:numId="2">
    <w:abstractNumId w:val="0"/>
  </w:num>
  <w:num w:numId="3">
    <w:abstractNumId w:val="9"/>
  </w:num>
  <w:num w:numId="4">
    <w:abstractNumId w:val="14"/>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3"/>
  </w:num>
  <w:num w:numId="9">
    <w:abstractNumId w:val="10"/>
  </w:num>
  <w:num w:numId="10">
    <w:abstractNumId w:val="12"/>
  </w:num>
  <w:num w:numId="11">
    <w:abstractNumId w:val="5"/>
  </w:num>
  <w:num w:numId="12">
    <w:abstractNumId w:val="15"/>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compat>
    <w:useFELayout/>
  </w:compat>
  <w:rsids>
    <w:rsidRoot w:val="00D31D50"/>
    <w:rsid w:val="00323B43"/>
    <w:rsid w:val="003D37D8"/>
    <w:rsid w:val="00426133"/>
    <w:rsid w:val="004358AB"/>
    <w:rsid w:val="005D50DA"/>
    <w:rsid w:val="00820533"/>
    <w:rsid w:val="008B7726"/>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qFormat="1"/>
    <w:lsdException w:name="annotation text" w:uiPriority="0" w:qFormat="1"/>
    <w:lsdException w:name="header" w:uiPriority="0" w:qFormat="1"/>
    <w:lsdException w:name="footer" w:uiPriority="0" w:qFormat="1"/>
    <w:lsdException w:name="caption" w:uiPriority="0" w:qFormat="1"/>
    <w:lsdException w:name="footnote reference" w:uiPriority="0" w:qFormat="1"/>
    <w:lsdException w:name="annotation reference" w:uiPriority="0" w:qFormat="1"/>
    <w:lsdException w:name="page number" w:uiPriority="0" w:qFormat="1"/>
    <w:lsdException w:name="List Bullet 3"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Indent 2"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annotation subject" w:uiPriority="0"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3B43"/>
    <w:pPr>
      <w:adjustRightInd w:val="0"/>
      <w:snapToGrid w:val="0"/>
      <w:spacing w:line="240" w:lineRule="auto"/>
    </w:pPr>
    <w:rPr>
      <w:rFonts w:ascii="Tahoma" w:hAnsi="Tahoma"/>
    </w:rPr>
  </w:style>
  <w:style w:type="paragraph" w:styleId="1">
    <w:name w:val="heading 1"/>
    <w:basedOn w:val="a0"/>
    <w:next w:val="a0"/>
    <w:link w:val="1Char"/>
    <w:qFormat/>
    <w:rsid w:val="005D50DA"/>
    <w:pPr>
      <w:keepNext/>
      <w:keepLines/>
      <w:widowControl w:val="0"/>
      <w:adjustRightInd/>
      <w:snapToGrid/>
      <w:spacing w:before="240" w:after="240"/>
      <w:ind w:leftChars="100" w:left="100" w:rightChars="100" w:right="100"/>
      <w:jc w:val="center"/>
      <w:outlineLvl w:val="0"/>
    </w:pPr>
    <w:rPr>
      <w:rFonts w:ascii="Calibri" w:eastAsia="黑体" w:hAnsi="Calibri" w:cs="Times New Roman"/>
      <w:bCs/>
      <w:kern w:val="44"/>
      <w:sz w:val="44"/>
      <w:szCs w:val="44"/>
    </w:rPr>
  </w:style>
  <w:style w:type="paragraph" w:styleId="2">
    <w:name w:val="heading 2"/>
    <w:basedOn w:val="a0"/>
    <w:next w:val="a0"/>
    <w:link w:val="2Char"/>
    <w:uiPriority w:val="9"/>
    <w:qFormat/>
    <w:rsid w:val="005D50DA"/>
    <w:pPr>
      <w:keepNext/>
      <w:keepLines/>
      <w:numPr>
        <w:ilvl w:val="1"/>
        <w:numId w:val="1"/>
      </w:numPr>
      <w:spacing w:before="260" w:after="260" w:line="413" w:lineRule="auto"/>
      <w:outlineLvl w:val="1"/>
    </w:pPr>
    <w:rPr>
      <w:rFonts w:ascii="Arial" w:eastAsia="黑体" w:hAnsi="Arial"/>
      <w:b/>
      <w:bCs/>
      <w:sz w:val="32"/>
      <w:szCs w:val="32"/>
    </w:rPr>
  </w:style>
  <w:style w:type="paragraph" w:styleId="30">
    <w:name w:val="heading 3"/>
    <w:basedOn w:val="a0"/>
    <w:next w:val="a0"/>
    <w:link w:val="3Char"/>
    <w:qFormat/>
    <w:rsid w:val="005D50DA"/>
    <w:pPr>
      <w:keepNext/>
      <w:keepLines/>
      <w:numPr>
        <w:ilvl w:val="2"/>
        <w:numId w:val="1"/>
      </w:numPr>
      <w:spacing w:before="260" w:after="260" w:line="413" w:lineRule="auto"/>
      <w:outlineLvl w:val="2"/>
    </w:pPr>
    <w:rPr>
      <w:rFonts w:ascii="Calibri" w:hAnsi="Calibri"/>
      <w:b/>
      <w:bCs/>
      <w:sz w:val="32"/>
      <w:szCs w:val="32"/>
    </w:rPr>
  </w:style>
  <w:style w:type="paragraph" w:styleId="4">
    <w:name w:val="heading 4"/>
    <w:basedOn w:val="a0"/>
    <w:next w:val="a0"/>
    <w:link w:val="4Char"/>
    <w:qFormat/>
    <w:rsid w:val="005D50DA"/>
    <w:pPr>
      <w:keepNext/>
      <w:keepLines/>
      <w:widowControl w:val="0"/>
      <w:adjustRightInd/>
      <w:snapToGrid/>
      <w:spacing w:before="280" w:after="290" w:line="372" w:lineRule="auto"/>
      <w:jc w:val="both"/>
      <w:outlineLvl w:val="3"/>
    </w:pPr>
    <w:rPr>
      <w:rFonts w:ascii="Arial" w:eastAsia="黑体" w:hAnsi="Arial" w:cs="Times New Roman"/>
      <w:b/>
      <w:bCs/>
      <w:kern w:val="2"/>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5D50DA"/>
    <w:rPr>
      <w:rFonts w:ascii="Calibri" w:eastAsia="黑体" w:hAnsi="Calibri" w:cs="Times New Roman"/>
      <w:bCs/>
      <w:kern w:val="44"/>
      <w:sz w:val="44"/>
      <w:szCs w:val="44"/>
    </w:rPr>
  </w:style>
  <w:style w:type="character" w:customStyle="1" w:styleId="2Char">
    <w:name w:val="标题 2 Char"/>
    <w:basedOn w:val="a1"/>
    <w:link w:val="2"/>
    <w:uiPriority w:val="9"/>
    <w:qFormat/>
    <w:rsid w:val="005D50DA"/>
    <w:rPr>
      <w:rFonts w:ascii="Arial" w:eastAsia="黑体" w:hAnsi="Arial"/>
      <w:b/>
      <w:bCs/>
      <w:sz w:val="32"/>
      <w:szCs w:val="32"/>
    </w:rPr>
  </w:style>
  <w:style w:type="character" w:customStyle="1" w:styleId="3Char">
    <w:name w:val="标题 3 Char"/>
    <w:basedOn w:val="a1"/>
    <w:link w:val="30"/>
    <w:qFormat/>
    <w:rsid w:val="005D50DA"/>
    <w:rPr>
      <w:rFonts w:ascii="Calibri" w:hAnsi="Calibri"/>
      <w:b/>
      <w:bCs/>
      <w:sz w:val="32"/>
      <w:szCs w:val="32"/>
    </w:rPr>
  </w:style>
  <w:style w:type="character" w:customStyle="1" w:styleId="4Char">
    <w:name w:val="标题 4 Char"/>
    <w:basedOn w:val="a1"/>
    <w:link w:val="4"/>
    <w:rsid w:val="005D50DA"/>
    <w:rPr>
      <w:rFonts w:ascii="Arial" w:eastAsia="黑体" w:hAnsi="Arial" w:cs="Times New Roman"/>
      <w:b/>
      <w:bCs/>
      <w:kern w:val="2"/>
      <w:sz w:val="28"/>
      <w:szCs w:val="28"/>
    </w:rPr>
  </w:style>
  <w:style w:type="paragraph" w:customStyle="1" w:styleId="10">
    <w:name w:val="列出段落1"/>
    <w:qFormat/>
    <w:rsid w:val="005D50DA"/>
    <w:pPr>
      <w:spacing w:after="0" w:line="240" w:lineRule="auto"/>
      <w:ind w:firstLineChars="200" w:firstLine="420"/>
      <w:jc w:val="center"/>
    </w:pPr>
    <w:rPr>
      <w:rFonts w:ascii="Calibri" w:eastAsia="宋体" w:hAnsi="Calibri" w:cs="Times New Roman"/>
      <w:sz w:val="20"/>
    </w:rPr>
  </w:style>
  <w:style w:type="paragraph" w:styleId="a4">
    <w:name w:val="caption"/>
    <w:basedOn w:val="a0"/>
    <w:next w:val="a0"/>
    <w:qFormat/>
    <w:rsid w:val="005D50DA"/>
    <w:pPr>
      <w:spacing w:before="152" w:after="160"/>
    </w:pPr>
    <w:rPr>
      <w:rFonts w:ascii="Arial" w:eastAsia="黑体" w:hAnsi="Arial" w:cs="Arial"/>
      <w:sz w:val="20"/>
      <w:szCs w:val="20"/>
    </w:rPr>
  </w:style>
  <w:style w:type="paragraph" w:styleId="3">
    <w:name w:val="List Bullet 3"/>
    <w:basedOn w:val="a0"/>
    <w:uiPriority w:val="99"/>
    <w:semiHidden/>
    <w:unhideWhenUsed/>
    <w:qFormat/>
    <w:rsid w:val="005D50DA"/>
    <w:pPr>
      <w:numPr>
        <w:numId w:val="2"/>
      </w:numPr>
    </w:pPr>
  </w:style>
  <w:style w:type="paragraph" w:styleId="a5">
    <w:name w:val="Balloon Text"/>
    <w:basedOn w:val="a0"/>
    <w:link w:val="Char"/>
    <w:unhideWhenUsed/>
    <w:qFormat/>
    <w:rsid w:val="005D50DA"/>
    <w:pPr>
      <w:spacing w:after="0"/>
    </w:pPr>
    <w:rPr>
      <w:sz w:val="18"/>
      <w:szCs w:val="18"/>
    </w:rPr>
  </w:style>
  <w:style w:type="character" w:customStyle="1" w:styleId="Char">
    <w:name w:val="批注框文本 Char"/>
    <w:basedOn w:val="a1"/>
    <w:link w:val="a5"/>
    <w:qFormat/>
    <w:rsid w:val="005D50DA"/>
    <w:rPr>
      <w:rFonts w:ascii="Tahoma" w:hAnsi="Tahoma"/>
      <w:sz w:val="18"/>
      <w:szCs w:val="18"/>
    </w:rPr>
  </w:style>
  <w:style w:type="paragraph" w:styleId="a6">
    <w:name w:val="footer"/>
    <w:basedOn w:val="a0"/>
    <w:link w:val="Char0"/>
    <w:unhideWhenUsed/>
    <w:qFormat/>
    <w:rsid w:val="005D50DA"/>
    <w:pPr>
      <w:tabs>
        <w:tab w:val="center" w:pos="4153"/>
        <w:tab w:val="right" w:pos="8306"/>
      </w:tabs>
    </w:pPr>
    <w:rPr>
      <w:sz w:val="18"/>
    </w:rPr>
  </w:style>
  <w:style w:type="character" w:customStyle="1" w:styleId="Char0">
    <w:name w:val="页脚 Char"/>
    <w:basedOn w:val="a1"/>
    <w:link w:val="a6"/>
    <w:qFormat/>
    <w:rsid w:val="005D50DA"/>
    <w:rPr>
      <w:rFonts w:ascii="Tahoma" w:hAnsi="Tahoma"/>
      <w:sz w:val="18"/>
    </w:rPr>
  </w:style>
  <w:style w:type="table" w:styleId="a7">
    <w:name w:val="Table Grid"/>
    <w:basedOn w:val="a2"/>
    <w:uiPriority w:val="59"/>
    <w:qFormat/>
    <w:rsid w:val="005D50DA"/>
    <w:pPr>
      <w:widowControl w:val="0"/>
      <w:spacing w:after="0" w:line="240" w:lineRule="auto"/>
      <w:jc w:val="both"/>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0"/>
    <w:qFormat/>
    <w:rsid w:val="005D50DA"/>
    <w:rPr>
      <w:szCs w:val="21"/>
    </w:rPr>
  </w:style>
  <w:style w:type="paragraph" w:styleId="a8">
    <w:name w:val="List Paragraph"/>
    <w:basedOn w:val="a0"/>
    <w:link w:val="Char1"/>
    <w:uiPriority w:val="34"/>
    <w:qFormat/>
    <w:rsid w:val="005D50DA"/>
    <w:pPr>
      <w:ind w:firstLineChars="200" w:firstLine="420"/>
    </w:pPr>
  </w:style>
  <w:style w:type="paragraph" w:styleId="a9">
    <w:name w:val="No Spacing"/>
    <w:uiPriority w:val="1"/>
    <w:qFormat/>
    <w:rsid w:val="005D50DA"/>
    <w:pPr>
      <w:spacing w:after="0" w:line="240" w:lineRule="auto"/>
    </w:pPr>
    <w:rPr>
      <w:rFonts w:ascii="Calibri" w:eastAsia="宋体" w:hAnsi="Calibri" w:cs="Times New Roman"/>
      <w:lang w:eastAsia="en-US" w:bidi="en-US"/>
    </w:rPr>
  </w:style>
  <w:style w:type="character" w:customStyle="1" w:styleId="11">
    <w:name w:val="不明显强调1"/>
    <w:basedOn w:val="a1"/>
    <w:uiPriority w:val="19"/>
    <w:qFormat/>
    <w:rsid w:val="005D50DA"/>
    <w:rPr>
      <w:i/>
      <w:iCs/>
      <w:color w:val="7F7F7F" w:themeColor="text1" w:themeTint="80"/>
    </w:rPr>
  </w:style>
  <w:style w:type="numbering" w:customStyle="1" w:styleId="12">
    <w:name w:val="无列表1"/>
    <w:next w:val="a3"/>
    <w:uiPriority w:val="99"/>
    <w:semiHidden/>
    <w:unhideWhenUsed/>
    <w:rsid w:val="005D50DA"/>
  </w:style>
  <w:style w:type="paragraph" w:styleId="aa">
    <w:name w:val="Normal Indent"/>
    <w:basedOn w:val="a0"/>
    <w:link w:val="Char2"/>
    <w:qFormat/>
    <w:rsid w:val="005D50DA"/>
    <w:pPr>
      <w:widowControl w:val="0"/>
      <w:adjustRightInd/>
      <w:snapToGrid/>
      <w:spacing w:after="0"/>
      <w:ind w:firstLineChars="200" w:firstLine="420"/>
      <w:jc w:val="both"/>
    </w:pPr>
    <w:rPr>
      <w:rFonts w:ascii="Calibri" w:eastAsia="宋体" w:hAnsi="Calibri" w:cs="Times New Roman"/>
      <w:kern w:val="2"/>
      <w:sz w:val="21"/>
      <w:szCs w:val="24"/>
    </w:rPr>
  </w:style>
  <w:style w:type="paragraph" w:styleId="ab">
    <w:name w:val="Document Map"/>
    <w:basedOn w:val="a0"/>
    <w:link w:val="Char3"/>
    <w:qFormat/>
    <w:rsid w:val="005D50DA"/>
    <w:pPr>
      <w:widowControl w:val="0"/>
      <w:shd w:val="clear" w:color="auto" w:fill="000080"/>
      <w:adjustRightInd/>
      <w:snapToGrid/>
      <w:spacing w:after="0"/>
      <w:jc w:val="both"/>
    </w:pPr>
    <w:rPr>
      <w:rFonts w:ascii="Calibri" w:eastAsia="宋体" w:hAnsi="Calibri" w:cs="Times New Roman"/>
      <w:kern w:val="2"/>
      <w:sz w:val="21"/>
      <w:szCs w:val="24"/>
    </w:rPr>
  </w:style>
  <w:style w:type="character" w:customStyle="1" w:styleId="Char3">
    <w:name w:val="文档结构图 Char"/>
    <w:basedOn w:val="a1"/>
    <w:link w:val="ab"/>
    <w:rsid w:val="005D50DA"/>
    <w:rPr>
      <w:rFonts w:ascii="Calibri" w:eastAsia="宋体" w:hAnsi="Calibri" w:cs="Times New Roman"/>
      <w:kern w:val="2"/>
      <w:sz w:val="21"/>
      <w:szCs w:val="24"/>
      <w:shd w:val="clear" w:color="auto" w:fill="000080"/>
    </w:rPr>
  </w:style>
  <w:style w:type="paragraph" w:styleId="ac">
    <w:name w:val="annotation text"/>
    <w:basedOn w:val="a0"/>
    <w:link w:val="Char4"/>
    <w:qFormat/>
    <w:rsid w:val="005D50DA"/>
    <w:pPr>
      <w:widowControl w:val="0"/>
      <w:adjustRightInd/>
      <w:snapToGrid/>
      <w:spacing w:after="0"/>
    </w:pPr>
    <w:rPr>
      <w:rFonts w:ascii="Calibri" w:eastAsia="宋体" w:hAnsi="Calibri" w:cs="Times New Roman"/>
      <w:kern w:val="2"/>
      <w:sz w:val="21"/>
      <w:szCs w:val="24"/>
    </w:rPr>
  </w:style>
  <w:style w:type="character" w:customStyle="1" w:styleId="Char4">
    <w:name w:val="批注文字 Char"/>
    <w:basedOn w:val="a1"/>
    <w:link w:val="ac"/>
    <w:qFormat/>
    <w:rsid w:val="005D50DA"/>
    <w:rPr>
      <w:rFonts w:ascii="Calibri" w:eastAsia="宋体" w:hAnsi="Calibri" w:cs="Times New Roman"/>
      <w:kern w:val="2"/>
      <w:sz w:val="21"/>
      <w:szCs w:val="24"/>
    </w:rPr>
  </w:style>
  <w:style w:type="paragraph" w:styleId="ad">
    <w:name w:val="Body Text"/>
    <w:basedOn w:val="a0"/>
    <w:link w:val="Char5"/>
    <w:qFormat/>
    <w:rsid w:val="005D50DA"/>
    <w:pPr>
      <w:widowControl w:val="0"/>
      <w:snapToGrid/>
      <w:spacing w:after="0" w:line="360" w:lineRule="atLeast"/>
      <w:jc w:val="center"/>
      <w:textAlignment w:val="baseline"/>
    </w:pPr>
    <w:rPr>
      <w:rFonts w:ascii="Calibri" w:eastAsia="宋体" w:hAnsi="Calibri" w:cs="Times New Roman"/>
      <w:sz w:val="24"/>
      <w:szCs w:val="20"/>
    </w:rPr>
  </w:style>
  <w:style w:type="character" w:customStyle="1" w:styleId="Char5">
    <w:name w:val="正文文本 Char"/>
    <w:basedOn w:val="a1"/>
    <w:link w:val="ad"/>
    <w:qFormat/>
    <w:rsid w:val="005D50DA"/>
    <w:rPr>
      <w:rFonts w:ascii="Calibri" w:eastAsia="宋体" w:hAnsi="Calibri" w:cs="Times New Roman"/>
      <w:sz w:val="24"/>
      <w:szCs w:val="20"/>
    </w:rPr>
  </w:style>
  <w:style w:type="paragraph" w:styleId="ae">
    <w:name w:val="Body Text Indent"/>
    <w:basedOn w:val="a0"/>
    <w:link w:val="Char6"/>
    <w:qFormat/>
    <w:rsid w:val="005D50DA"/>
    <w:pPr>
      <w:widowControl w:val="0"/>
      <w:snapToGrid/>
      <w:spacing w:after="0" w:line="312" w:lineRule="atLeast"/>
      <w:ind w:leftChars="115" w:left="719" w:hangingChars="199" w:hanging="478"/>
      <w:jc w:val="both"/>
      <w:textAlignment w:val="baseline"/>
    </w:pPr>
    <w:rPr>
      <w:rFonts w:ascii="黑体" w:eastAsia="黑体" w:hAnsi="Calibri" w:cs="Times New Roman"/>
      <w:sz w:val="24"/>
      <w:szCs w:val="20"/>
    </w:rPr>
  </w:style>
  <w:style w:type="character" w:customStyle="1" w:styleId="Char6">
    <w:name w:val="正文文本缩进 Char"/>
    <w:basedOn w:val="a1"/>
    <w:link w:val="ae"/>
    <w:rsid w:val="005D50DA"/>
    <w:rPr>
      <w:rFonts w:ascii="黑体" w:eastAsia="黑体" w:hAnsi="Calibri" w:cs="Times New Roman"/>
      <w:sz w:val="24"/>
      <w:szCs w:val="20"/>
    </w:rPr>
  </w:style>
  <w:style w:type="paragraph" w:styleId="31">
    <w:name w:val="toc 3"/>
    <w:basedOn w:val="a0"/>
    <w:next w:val="a0"/>
    <w:qFormat/>
    <w:rsid w:val="005D50DA"/>
    <w:pPr>
      <w:widowControl w:val="0"/>
      <w:adjustRightInd/>
      <w:snapToGrid/>
      <w:spacing w:after="0"/>
      <w:ind w:leftChars="400" w:left="840"/>
      <w:jc w:val="both"/>
    </w:pPr>
    <w:rPr>
      <w:rFonts w:ascii="Calibri" w:eastAsia="宋体" w:hAnsi="Calibri" w:cs="Times New Roman"/>
      <w:kern w:val="2"/>
      <w:sz w:val="21"/>
      <w:szCs w:val="24"/>
    </w:rPr>
  </w:style>
  <w:style w:type="paragraph" w:styleId="af">
    <w:name w:val="Plain Text"/>
    <w:basedOn w:val="a0"/>
    <w:link w:val="Char7"/>
    <w:qFormat/>
    <w:rsid w:val="005D50DA"/>
    <w:pPr>
      <w:widowControl w:val="0"/>
      <w:adjustRightInd/>
      <w:snapToGrid/>
      <w:spacing w:after="0"/>
      <w:jc w:val="both"/>
    </w:pPr>
    <w:rPr>
      <w:rFonts w:ascii="宋体" w:eastAsia="宋体" w:hAnsi="Courier New" w:cs="Times New Roman"/>
      <w:kern w:val="2"/>
      <w:sz w:val="21"/>
      <w:szCs w:val="20"/>
    </w:rPr>
  </w:style>
  <w:style w:type="character" w:customStyle="1" w:styleId="Char7">
    <w:name w:val="纯文本 Char"/>
    <w:basedOn w:val="a1"/>
    <w:link w:val="af"/>
    <w:qFormat/>
    <w:rsid w:val="005D50DA"/>
    <w:rPr>
      <w:rFonts w:ascii="宋体" w:eastAsia="宋体" w:hAnsi="Courier New" w:cs="Times New Roman"/>
      <w:kern w:val="2"/>
      <w:sz w:val="21"/>
      <w:szCs w:val="20"/>
    </w:rPr>
  </w:style>
  <w:style w:type="paragraph" w:styleId="af0">
    <w:name w:val="Date"/>
    <w:basedOn w:val="a0"/>
    <w:next w:val="a0"/>
    <w:link w:val="Char8"/>
    <w:qFormat/>
    <w:rsid w:val="005D50DA"/>
    <w:pPr>
      <w:widowControl w:val="0"/>
      <w:adjustRightInd/>
      <w:snapToGrid/>
      <w:spacing w:after="0"/>
      <w:ind w:leftChars="2500" w:left="100"/>
      <w:jc w:val="both"/>
    </w:pPr>
    <w:rPr>
      <w:rFonts w:ascii="Calibri" w:eastAsia="宋体" w:hAnsi="Calibri" w:cs="Times New Roman"/>
      <w:kern w:val="2"/>
      <w:sz w:val="21"/>
      <w:szCs w:val="20"/>
    </w:rPr>
  </w:style>
  <w:style w:type="character" w:customStyle="1" w:styleId="Char8">
    <w:name w:val="日期 Char"/>
    <w:basedOn w:val="a1"/>
    <w:link w:val="af0"/>
    <w:rsid w:val="005D50DA"/>
    <w:rPr>
      <w:rFonts w:ascii="Calibri" w:eastAsia="宋体" w:hAnsi="Calibri" w:cs="Times New Roman"/>
      <w:kern w:val="2"/>
      <w:sz w:val="21"/>
      <w:szCs w:val="20"/>
    </w:rPr>
  </w:style>
  <w:style w:type="paragraph" w:styleId="20">
    <w:name w:val="Body Text Indent 2"/>
    <w:basedOn w:val="a0"/>
    <w:link w:val="2Char0"/>
    <w:uiPriority w:val="99"/>
    <w:unhideWhenUsed/>
    <w:qFormat/>
    <w:rsid w:val="005D50DA"/>
    <w:pPr>
      <w:widowControl w:val="0"/>
      <w:adjustRightInd/>
      <w:snapToGrid/>
      <w:spacing w:after="120" w:line="480" w:lineRule="auto"/>
      <w:ind w:leftChars="200" w:left="420"/>
      <w:jc w:val="both"/>
    </w:pPr>
    <w:rPr>
      <w:rFonts w:ascii="Calibri" w:eastAsia="宋体" w:hAnsi="Calibri" w:cs="Times New Roman"/>
      <w:kern w:val="2"/>
      <w:sz w:val="21"/>
      <w:szCs w:val="24"/>
    </w:rPr>
  </w:style>
  <w:style w:type="character" w:customStyle="1" w:styleId="2Char0">
    <w:name w:val="正文文本缩进 2 Char"/>
    <w:basedOn w:val="a1"/>
    <w:link w:val="20"/>
    <w:uiPriority w:val="99"/>
    <w:qFormat/>
    <w:rsid w:val="005D50DA"/>
    <w:rPr>
      <w:rFonts w:ascii="Calibri" w:eastAsia="宋体" w:hAnsi="Calibri" w:cs="Times New Roman"/>
      <w:kern w:val="2"/>
      <w:sz w:val="21"/>
      <w:szCs w:val="24"/>
    </w:rPr>
  </w:style>
  <w:style w:type="paragraph" w:styleId="af1">
    <w:name w:val="header"/>
    <w:basedOn w:val="a0"/>
    <w:link w:val="Char9"/>
    <w:qFormat/>
    <w:rsid w:val="005D50DA"/>
    <w:pPr>
      <w:widowControl w:val="0"/>
      <w:pBdr>
        <w:bottom w:val="single" w:sz="6" w:space="1" w:color="auto"/>
      </w:pBdr>
      <w:tabs>
        <w:tab w:val="center" w:pos="4153"/>
        <w:tab w:val="right" w:pos="8306"/>
      </w:tabs>
      <w:adjustRightInd/>
      <w:spacing w:after="0"/>
      <w:jc w:val="center"/>
    </w:pPr>
    <w:rPr>
      <w:rFonts w:ascii="Calibri" w:eastAsia="宋体" w:hAnsi="Calibri" w:cs="Times New Roman"/>
      <w:kern w:val="2"/>
      <w:sz w:val="18"/>
      <w:szCs w:val="18"/>
    </w:rPr>
  </w:style>
  <w:style w:type="character" w:customStyle="1" w:styleId="Char9">
    <w:name w:val="页眉 Char"/>
    <w:basedOn w:val="a1"/>
    <w:link w:val="af1"/>
    <w:qFormat/>
    <w:rsid w:val="005D50DA"/>
    <w:rPr>
      <w:rFonts w:ascii="Calibri" w:eastAsia="宋体" w:hAnsi="Calibri" w:cs="Times New Roman"/>
      <w:kern w:val="2"/>
      <w:sz w:val="18"/>
      <w:szCs w:val="18"/>
    </w:rPr>
  </w:style>
  <w:style w:type="paragraph" w:styleId="13">
    <w:name w:val="toc 1"/>
    <w:basedOn w:val="a0"/>
    <w:next w:val="a0"/>
    <w:uiPriority w:val="39"/>
    <w:qFormat/>
    <w:rsid w:val="005D50DA"/>
    <w:pPr>
      <w:widowControl w:val="0"/>
      <w:adjustRightInd/>
      <w:snapToGrid/>
      <w:spacing w:after="0"/>
      <w:jc w:val="both"/>
    </w:pPr>
    <w:rPr>
      <w:rFonts w:ascii="Calibri" w:eastAsia="宋体" w:hAnsi="Calibri" w:cs="Times New Roman"/>
      <w:kern w:val="2"/>
      <w:sz w:val="21"/>
      <w:szCs w:val="24"/>
    </w:rPr>
  </w:style>
  <w:style w:type="paragraph" w:styleId="af2">
    <w:name w:val="footnote text"/>
    <w:basedOn w:val="a0"/>
    <w:link w:val="Chara"/>
    <w:qFormat/>
    <w:rsid w:val="005D50DA"/>
    <w:pPr>
      <w:widowControl w:val="0"/>
      <w:adjustRightInd/>
      <w:spacing w:after="0"/>
    </w:pPr>
    <w:rPr>
      <w:rFonts w:ascii="Calibri" w:eastAsia="宋体" w:hAnsi="Calibri" w:cs="Times New Roman"/>
      <w:kern w:val="2"/>
      <w:sz w:val="18"/>
      <w:szCs w:val="18"/>
    </w:rPr>
  </w:style>
  <w:style w:type="character" w:customStyle="1" w:styleId="Chara">
    <w:name w:val="脚注文本 Char"/>
    <w:basedOn w:val="a1"/>
    <w:link w:val="af2"/>
    <w:qFormat/>
    <w:rsid w:val="005D50DA"/>
    <w:rPr>
      <w:rFonts w:ascii="Calibri" w:eastAsia="宋体" w:hAnsi="Calibri" w:cs="Times New Roman"/>
      <w:kern w:val="2"/>
      <w:sz w:val="18"/>
      <w:szCs w:val="18"/>
    </w:rPr>
  </w:style>
  <w:style w:type="paragraph" w:styleId="32">
    <w:name w:val="Body Text Indent 3"/>
    <w:basedOn w:val="a0"/>
    <w:link w:val="3Char0"/>
    <w:qFormat/>
    <w:rsid w:val="005D50DA"/>
    <w:pPr>
      <w:widowControl w:val="0"/>
      <w:adjustRightInd/>
      <w:snapToGrid/>
      <w:spacing w:after="120"/>
      <w:ind w:leftChars="200" w:left="420"/>
      <w:jc w:val="both"/>
    </w:pPr>
    <w:rPr>
      <w:rFonts w:ascii="Calibri" w:eastAsia="宋体" w:hAnsi="Calibri" w:cs="Times New Roman"/>
      <w:kern w:val="2"/>
      <w:sz w:val="16"/>
      <w:szCs w:val="16"/>
    </w:rPr>
  </w:style>
  <w:style w:type="character" w:customStyle="1" w:styleId="3Char0">
    <w:name w:val="正文文本缩进 3 Char"/>
    <w:basedOn w:val="a1"/>
    <w:link w:val="32"/>
    <w:rsid w:val="005D50DA"/>
    <w:rPr>
      <w:rFonts w:ascii="Calibri" w:eastAsia="宋体" w:hAnsi="Calibri" w:cs="Times New Roman"/>
      <w:kern w:val="2"/>
      <w:sz w:val="16"/>
      <w:szCs w:val="16"/>
    </w:rPr>
  </w:style>
  <w:style w:type="paragraph" w:styleId="21">
    <w:name w:val="toc 2"/>
    <w:basedOn w:val="a0"/>
    <w:next w:val="a0"/>
    <w:uiPriority w:val="39"/>
    <w:qFormat/>
    <w:rsid w:val="005D50DA"/>
    <w:pPr>
      <w:widowControl w:val="0"/>
      <w:adjustRightInd/>
      <w:snapToGrid/>
      <w:spacing w:after="0"/>
      <w:ind w:leftChars="200" w:left="420"/>
      <w:jc w:val="both"/>
    </w:pPr>
    <w:rPr>
      <w:rFonts w:ascii="Calibri" w:eastAsia="宋体" w:hAnsi="Calibri" w:cs="Times New Roman"/>
      <w:kern w:val="2"/>
      <w:sz w:val="21"/>
      <w:szCs w:val="24"/>
    </w:rPr>
  </w:style>
  <w:style w:type="paragraph" w:styleId="af3">
    <w:name w:val="Normal (Web)"/>
    <w:basedOn w:val="a0"/>
    <w:qFormat/>
    <w:rsid w:val="005D50DA"/>
    <w:pPr>
      <w:adjustRightInd/>
      <w:snapToGrid/>
      <w:spacing w:before="100" w:beforeAutospacing="1" w:after="100" w:afterAutospacing="1"/>
    </w:pPr>
    <w:rPr>
      <w:rFonts w:ascii="宋体" w:eastAsia="宋体" w:hAnsi="宋体" w:cs="宋体"/>
      <w:color w:val="000000"/>
      <w:sz w:val="24"/>
      <w:szCs w:val="24"/>
    </w:rPr>
  </w:style>
  <w:style w:type="paragraph" w:styleId="af4">
    <w:name w:val="annotation subject"/>
    <w:basedOn w:val="ac"/>
    <w:next w:val="ac"/>
    <w:link w:val="Charb"/>
    <w:qFormat/>
    <w:rsid w:val="005D50DA"/>
    <w:rPr>
      <w:b/>
      <w:bCs/>
    </w:rPr>
  </w:style>
  <w:style w:type="character" w:customStyle="1" w:styleId="Charb">
    <w:name w:val="批注主题 Char"/>
    <w:basedOn w:val="Char4"/>
    <w:link w:val="af4"/>
    <w:qFormat/>
    <w:rsid w:val="005D50DA"/>
    <w:rPr>
      <w:b/>
      <w:bCs/>
    </w:rPr>
  </w:style>
  <w:style w:type="character" w:styleId="af5">
    <w:name w:val="Strong"/>
    <w:uiPriority w:val="22"/>
    <w:qFormat/>
    <w:rsid w:val="005D50DA"/>
    <w:rPr>
      <w:b/>
      <w:bCs/>
    </w:rPr>
  </w:style>
  <w:style w:type="character" w:styleId="af6">
    <w:name w:val="page number"/>
    <w:basedOn w:val="a1"/>
    <w:qFormat/>
    <w:rsid w:val="005D50DA"/>
  </w:style>
  <w:style w:type="character" w:styleId="af7">
    <w:name w:val="FollowedHyperlink"/>
    <w:qFormat/>
    <w:rsid w:val="005D50DA"/>
    <w:rPr>
      <w:color w:val="800080"/>
      <w:u w:val="single"/>
    </w:rPr>
  </w:style>
  <w:style w:type="character" w:styleId="af8">
    <w:name w:val="Hyperlink"/>
    <w:uiPriority w:val="99"/>
    <w:qFormat/>
    <w:rsid w:val="005D50DA"/>
    <w:rPr>
      <w:color w:val="0000FF"/>
      <w:u w:val="single"/>
    </w:rPr>
  </w:style>
  <w:style w:type="character" w:styleId="af9">
    <w:name w:val="annotation reference"/>
    <w:qFormat/>
    <w:rsid w:val="005D50DA"/>
    <w:rPr>
      <w:sz w:val="21"/>
      <w:szCs w:val="21"/>
    </w:rPr>
  </w:style>
  <w:style w:type="character" w:styleId="afa">
    <w:name w:val="footnote reference"/>
    <w:qFormat/>
    <w:rsid w:val="005D50DA"/>
    <w:rPr>
      <w:vertAlign w:val="superscript"/>
    </w:rPr>
  </w:style>
  <w:style w:type="paragraph" w:customStyle="1" w:styleId="afb">
    <w:name w:val="图格式"/>
    <w:basedOn w:val="a0"/>
    <w:next w:val="a0"/>
    <w:qFormat/>
    <w:rsid w:val="005D50DA"/>
    <w:pPr>
      <w:widowControl w:val="0"/>
      <w:spacing w:after="0" w:line="300" w:lineRule="auto"/>
      <w:jc w:val="center"/>
    </w:pPr>
    <w:rPr>
      <w:rFonts w:ascii="宋体" w:eastAsia="宋体" w:hAnsi="宋体" w:cs="Times New Roman"/>
      <w:bCs/>
      <w:sz w:val="24"/>
      <w:szCs w:val="24"/>
    </w:rPr>
  </w:style>
  <w:style w:type="paragraph" w:customStyle="1" w:styleId="CharCharCharChar">
    <w:name w:val="Char Char Char Char"/>
    <w:basedOn w:val="ab"/>
    <w:qFormat/>
    <w:rsid w:val="005D50DA"/>
    <w:rPr>
      <w:rFonts w:ascii="Tahoma" w:hAnsi="Tahoma"/>
      <w:sz w:val="24"/>
    </w:rPr>
  </w:style>
  <w:style w:type="paragraph" w:customStyle="1" w:styleId="afc">
    <w:name w:val="表格字体"/>
    <w:basedOn w:val="a0"/>
    <w:qFormat/>
    <w:rsid w:val="005D50DA"/>
    <w:pPr>
      <w:spacing w:after="0"/>
      <w:jc w:val="center"/>
    </w:pPr>
    <w:rPr>
      <w:rFonts w:ascii="Times New Roman" w:eastAsia="宋体" w:hAnsi="Times New Roman" w:cs="Times New Roman"/>
      <w:sz w:val="20"/>
      <w:szCs w:val="24"/>
      <w:lang w:val="zh-CN"/>
    </w:rPr>
  </w:style>
  <w:style w:type="paragraph" w:customStyle="1" w:styleId="afd">
    <w:name w:val="文字"/>
    <w:basedOn w:val="a0"/>
    <w:link w:val="Charc"/>
    <w:qFormat/>
    <w:rsid w:val="005D50DA"/>
    <w:pPr>
      <w:widowControl w:val="0"/>
      <w:tabs>
        <w:tab w:val="left" w:pos="8520"/>
      </w:tabs>
      <w:adjustRightInd/>
      <w:snapToGrid/>
      <w:spacing w:after="0" w:line="312" w:lineRule="auto"/>
      <w:ind w:right="-210" w:firstLine="556"/>
      <w:jc w:val="both"/>
    </w:pPr>
    <w:rPr>
      <w:rFonts w:ascii="宋体" w:eastAsia="宋体" w:hAnsi="宋体" w:cs="Times New Roman"/>
      <w:sz w:val="28"/>
      <w:szCs w:val="20"/>
    </w:rPr>
  </w:style>
  <w:style w:type="paragraph" w:customStyle="1" w:styleId="14">
    <w:name w:val="彩色列表1"/>
    <w:qFormat/>
    <w:rsid w:val="005D50DA"/>
    <w:pPr>
      <w:widowControl w:val="0"/>
      <w:spacing w:after="0" w:line="240" w:lineRule="auto"/>
      <w:ind w:firstLine="420"/>
      <w:jc w:val="both"/>
    </w:pPr>
    <w:rPr>
      <w:rFonts w:ascii="宋体" w:eastAsia="宋体" w:hAnsi="宋体" w:cs="宋体"/>
      <w:color w:val="000000"/>
      <w:sz w:val="24"/>
      <w:szCs w:val="24"/>
      <w:u w:color="000000"/>
    </w:rPr>
  </w:style>
  <w:style w:type="paragraph" w:customStyle="1" w:styleId="New">
    <w:name w:val="批注文字 New"/>
    <w:basedOn w:val="a0"/>
    <w:qFormat/>
    <w:rsid w:val="005D50DA"/>
    <w:pPr>
      <w:widowControl w:val="0"/>
      <w:adjustRightInd/>
      <w:snapToGrid/>
      <w:spacing w:after="0"/>
    </w:pPr>
    <w:rPr>
      <w:rFonts w:ascii="Calibri" w:eastAsia="宋体" w:hAnsi="Calibri" w:cs="Times New Roman"/>
      <w:kern w:val="2"/>
      <w:sz w:val="21"/>
      <w:szCs w:val="24"/>
    </w:rPr>
  </w:style>
  <w:style w:type="paragraph" w:customStyle="1" w:styleId="afe">
    <w:name w:val="正文段"/>
    <w:basedOn w:val="a0"/>
    <w:link w:val="Chard"/>
    <w:qFormat/>
    <w:rsid w:val="005D50DA"/>
    <w:pPr>
      <w:widowControl w:val="0"/>
      <w:adjustRightInd/>
      <w:snapToGrid/>
      <w:spacing w:after="0" w:line="460" w:lineRule="exact"/>
      <w:ind w:firstLineChars="200" w:firstLine="200"/>
      <w:jc w:val="both"/>
    </w:pPr>
    <w:rPr>
      <w:rFonts w:ascii="宋体" w:eastAsia="宋体" w:hAnsi="宋体" w:cs="Times New Roman"/>
      <w:sz w:val="28"/>
      <w:szCs w:val="24"/>
    </w:rPr>
  </w:style>
  <w:style w:type="paragraph" w:customStyle="1" w:styleId="ParaChar">
    <w:name w:val="默认段落字体 Para Char"/>
    <w:basedOn w:val="a0"/>
    <w:qFormat/>
    <w:rsid w:val="005D50DA"/>
    <w:pPr>
      <w:widowControl w:val="0"/>
      <w:adjustRightInd/>
      <w:snapToGrid/>
      <w:spacing w:after="0"/>
      <w:jc w:val="both"/>
    </w:pPr>
    <w:rPr>
      <w:rFonts w:eastAsia="宋体" w:cs="Times New Roman"/>
      <w:kern w:val="2"/>
      <w:sz w:val="24"/>
      <w:szCs w:val="20"/>
    </w:rPr>
  </w:style>
  <w:style w:type="paragraph" w:customStyle="1" w:styleId="reader-word-layer">
    <w:name w:val="reader-word-layer"/>
    <w:basedOn w:val="a0"/>
    <w:qFormat/>
    <w:rsid w:val="005D50DA"/>
    <w:pPr>
      <w:adjustRightInd/>
      <w:snapToGrid/>
      <w:spacing w:before="100" w:beforeAutospacing="1" w:after="100" w:afterAutospacing="1"/>
    </w:pPr>
    <w:rPr>
      <w:rFonts w:ascii="宋体" w:eastAsia="宋体" w:hAnsi="宋体" w:cs="宋体"/>
      <w:sz w:val="24"/>
      <w:szCs w:val="24"/>
    </w:rPr>
  </w:style>
  <w:style w:type="paragraph" w:customStyle="1" w:styleId="a">
    <w:name w:val="正文列项_字母"/>
    <w:basedOn w:val="a0"/>
    <w:qFormat/>
    <w:rsid w:val="005D50DA"/>
    <w:pPr>
      <w:widowControl w:val="0"/>
      <w:numPr>
        <w:ilvl w:val="6"/>
        <w:numId w:val="10"/>
      </w:numPr>
      <w:autoSpaceDE w:val="0"/>
      <w:autoSpaceDN w:val="0"/>
      <w:adjustRightInd/>
      <w:snapToGrid/>
      <w:spacing w:after="0" w:line="460" w:lineRule="exact"/>
      <w:jc w:val="both"/>
      <w:outlineLvl w:val="6"/>
    </w:pPr>
    <w:rPr>
      <w:rFonts w:ascii="宋体" w:eastAsia="宋体" w:hAnsi="Times New Roman" w:cs="Times New Roman"/>
      <w:sz w:val="28"/>
      <w:szCs w:val="20"/>
    </w:rPr>
  </w:style>
  <w:style w:type="paragraph" w:customStyle="1" w:styleId="15">
    <w:name w:val="无间隔1"/>
    <w:uiPriority w:val="1"/>
    <w:qFormat/>
    <w:rsid w:val="005D50DA"/>
    <w:pPr>
      <w:widowControl w:val="0"/>
      <w:spacing w:after="0" w:line="240" w:lineRule="auto"/>
      <w:jc w:val="both"/>
    </w:pPr>
    <w:rPr>
      <w:rFonts w:ascii="Calibri" w:eastAsia="宋体" w:hAnsi="Calibri" w:cs="Times New Roman"/>
      <w:kern w:val="2"/>
      <w:sz w:val="21"/>
    </w:rPr>
  </w:style>
  <w:style w:type="paragraph" w:customStyle="1" w:styleId="CharCharCharCharCharCharCharCharCharChar">
    <w:name w:val="Char Char Char Char Char Char Char Char Char Char"/>
    <w:basedOn w:val="a0"/>
    <w:qFormat/>
    <w:rsid w:val="005D50DA"/>
    <w:pPr>
      <w:widowControl w:val="0"/>
      <w:adjustRightInd/>
      <w:snapToGrid/>
      <w:spacing w:after="0"/>
      <w:jc w:val="both"/>
    </w:pPr>
    <w:rPr>
      <w:rFonts w:eastAsia="宋体" w:cs="Times New Roman"/>
      <w:kern w:val="2"/>
      <w:sz w:val="24"/>
      <w:szCs w:val="20"/>
    </w:rPr>
  </w:style>
  <w:style w:type="paragraph" w:customStyle="1" w:styleId="CharCharChar">
    <w:name w:val="Char Char Char"/>
    <w:basedOn w:val="a0"/>
    <w:qFormat/>
    <w:rsid w:val="005D50DA"/>
    <w:pPr>
      <w:widowControl w:val="0"/>
      <w:adjustRightInd/>
      <w:snapToGrid/>
      <w:spacing w:after="0"/>
      <w:jc w:val="both"/>
    </w:pPr>
    <w:rPr>
      <w:rFonts w:ascii="宋体" w:eastAsia="宋体" w:hAnsi="宋体" w:cs="Times New Roman"/>
      <w:b/>
      <w:kern w:val="2"/>
      <w:sz w:val="28"/>
      <w:szCs w:val="28"/>
    </w:rPr>
  </w:style>
  <w:style w:type="paragraph" w:customStyle="1" w:styleId="22">
    <w:name w:val="列出段落2"/>
    <w:basedOn w:val="a0"/>
    <w:uiPriority w:val="99"/>
    <w:unhideWhenUsed/>
    <w:qFormat/>
    <w:rsid w:val="005D50DA"/>
    <w:pPr>
      <w:widowControl w:val="0"/>
      <w:adjustRightInd/>
      <w:snapToGrid/>
      <w:spacing w:after="0"/>
      <w:ind w:firstLineChars="200" w:firstLine="420"/>
      <w:jc w:val="both"/>
    </w:pPr>
    <w:rPr>
      <w:rFonts w:ascii="Calibri" w:eastAsia="宋体" w:hAnsi="Calibri" w:cs="Times New Roman"/>
      <w:kern w:val="2"/>
      <w:sz w:val="21"/>
      <w:szCs w:val="24"/>
    </w:rPr>
  </w:style>
  <w:style w:type="paragraph" w:customStyle="1" w:styleId="110">
    <w:name w:val="列出段落11"/>
    <w:uiPriority w:val="99"/>
    <w:qFormat/>
    <w:rsid w:val="005D50DA"/>
    <w:pPr>
      <w:spacing w:after="0" w:line="240" w:lineRule="auto"/>
      <w:ind w:firstLineChars="200" w:firstLine="420"/>
      <w:jc w:val="center"/>
    </w:pPr>
    <w:rPr>
      <w:rFonts w:ascii="Calibri" w:eastAsia="宋体" w:hAnsi="Calibri" w:cs="Times New Roman"/>
      <w:sz w:val="20"/>
    </w:rPr>
  </w:style>
  <w:style w:type="paragraph" w:customStyle="1" w:styleId="1031114">
    <w:name w:val="样式 10 磅31114"/>
    <w:qFormat/>
    <w:rsid w:val="005D50DA"/>
    <w:pPr>
      <w:widowControl w:val="0"/>
      <w:spacing w:after="0" w:line="240" w:lineRule="auto"/>
      <w:jc w:val="both"/>
    </w:pPr>
    <w:rPr>
      <w:rFonts w:ascii="Times New Roman" w:eastAsia="宋体" w:hAnsi="Times New Roman" w:cs="Times New Roman"/>
      <w:kern w:val="2"/>
      <w:sz w:val="21"/>
      <w:szCs w:val="24"/>
    </w:rPr>
  </w:style>
  <w:style w:type="paragraph" w:customStyle="1" w:styleId="CharChar2Char">
    <w:name w:val="Char Char2 Char"/>
    <w:basedOn w:val="a0"/>
    <w:qFormat/>
    <w:rsid w:val="005D50DA"/>
    <w:pPr>
      <w:widowControl w:val="0"/>
      <w:adjustRightInd/>
      <w:snapToGrid/>
      <w:spacing w:after="0"/>
      <w:jc w:val="both"/>
    </w:pPr>
    <w:rPr>
      <w:rFonts w:ascii="宋体" w:eastAsia="宋体" w:hAnsi="宋体" w:cs="Times New Roman"/>
      <w:b/>
      <w:kern w:val="2"/>
      <w:sz w:val="28"/>
      <w:szCs w:val="28"/>
    </w:rPr>
  </w:style>
  <w:style w:type="paragraph" w:customStyle="1" w:styleId="ParaCharCharCharCharCharCharCharCharCharChar">
    <w:name w:val="默认段落字体 Para Char Char Char Char Char Char Char Char Char Char"/>
    <w:basedOn w:val="a0"/>
    <w:qFormat/>
    <w:rsid w:val="005D50DA"/>
    <w:pPr>
      <w:widowControl w:val="0"/>
      <w:adjustRightInd/>
      <w:snapToGrid/>
      <w:spacing w:after="0"/>
      <w:jc w:val="both"/>
    </w:pPr>
    <w:rPr>
      <w:rFonts w:eastAsia="宋体" w:cs="Times New Roman"/>
      <w:kern w:val="2"/>
      <w:sz w:val="24"/>
      <w:szCs w:val="20"/>
    </w:rPr>
  </w:style>
  <w:style w:type="paragraph" w:customStyle="1" w:styleId="aff">
    <w:name w:val="正文文本样式"/>
    <w:basedOn w:val="a0"/>
    <w:link w:val="Chare"/>
    <w:qFormat/>
    <w:rsid w:val="005D50DA"/>
    <w:pPr>
      <w:widowControl w:val="0"/>
      <w:adjustRightInd/>
      <w:snapToGrid/>
      <w:spacing w:after="0" w:line="360" w:lineRule="auto"/>
      <w:ind w:firstLine="482"/>
      <w:jc w:val="both"/>
    </w:pPr>
    <w:rPr>
      <w:rFonts w:ascii="Calibri" w:eastAsia="宋体" w:hAnsi="Calibri" w:cs="宋体"/>
      <w:kern w:val="2"/>
      <w:sz w:val="24"/>
      <w:szCs w:val="20"/>
    </w:rPr>
  </w:style>
  <w:style w:type="paragraph" w:customStyle="1" w:styleId="Style55">
    <w:name w:val="_Style 55"/>
    <w:uiPriority w:val="99"/>
    <w:semiHidden/>
    <w:qFormat/>
    <w:rsid w:val="005D50DA"/>
    <w:pPr>
      <w:spacing w:after="0" w:line="240" w:lineRule="auto"/>
    </w:pPr>
    <w:rPr>
      <w:rFonts w:ascii="Calibri" w:eastAsia="宋体" w:hAnsi="Calibri" w:cs="Times New Roman"/>
      <w:kern w:val="2"/>
      <w:sz w:val="21"/>
      <w:szCs w:val="24"/>
    </w:rPr>
  </w:style>
  <w:style w:type="paragraph" w:customStyle="1" w:styleId="style1">
    <w:name w:val="style1"/>
    <w:basedOn w:val="a0"/>
    <w:qFormat/>
    <w:rsid w:val="005D50DA"/>
    <w:pPr>
      <w:adjustRightInd/>
      <w:snapToGrid/>
      <w:spacing w:before="100" w:beforeAutospacing="1" w:after="100" w:afterAutospacing="1"/>
    </w:pPr>
    <w:rPr>
      <w:rFonts w:ascii="宋体" w:eastAsia="宋体" w:hAnsi="宋体" w:cs="宋体"/>
      <w:sz w:val="24"/>
      <w:szCs w:val="24"/>
    </w:rPr>
  </w:style>
  <w:style w:type="paragraph" w:customStyle="1" w:styleId="Default">
    <w:name w:val="Default"/>
    <w:qFormat/>
    <w:rsid w:val="005D50DA"/>
    <w:pPr>
      <w:widowControl w:val="0"/>
      <w:autoSpaceDE w:val="0"/>
      <w:autoSpaceDN w:val="0"/>
      <w:adjustRightInd w:val="0"/>
      <w:spacing w:after="0" w:line="240" w:lineRule="auto"/>
    </w:pPr>
    <w:rPr>
      <w:rFonts w:ascii="宋体" w:eastAsia="宋体" w:hAnsi="宋体" w:cs="宋体"/>
      <w:color w:val="000000"/>
      <w:sz w:val="24"/>
      <w:szCs w:val="24"/>
    </w:rPr>
  </w:style>
  <w:style w:type="paragraph" w:customStyle="1" w:styleId="210">
    <w:name w:val="列出段落21"/>
    <w:basedOn w:val="a0"/>
    <w:uiPriority w:val="99"/>
    <w:qFormat/>
    <w:rsid w:val="005D50DA"/>
    <w:pPr>
      <w:widowControl w:val="0"/>
      <w:adjustRightInd/>
      <w:snapToGrid/>
      <w:spacing w:after="0"/>
      <w:ind w:firstLineChars="200" w:firstLine="420"/>
      <w:jc w:val="both"/>
    </w:pPr>
    <w:rPr>
      <w:rFonts w:ascii="Calibri" w:eastAsia="宋体" w:hAnsi="Calibri" w:cs="Times New Roman"/>
      <w:kern w:val="2"/>
      <w:sz w:val="21"/>
      <w:szCs w:val="24"/>
    </w:rPr>
  </w:style>
  <w:style w:type="paragraph" w:customStyle="1" w:styleId="Charf">
    <w:name w:val="Char"/>
    <w:basedOn w:val="a0"/>
    <w:qFormat/>
    <w:rsid w:val="005D50DA"/>
    <w:pPr>
      <w:widowControl w:val="0"/>
      <w:adjustRightInd/>
      <w:snapToGrid/>
      <w:spacing w:after="0"/>
      <w:jc w:val="both"/>
    </w:pPr>
    <w:rPr>
      <w:rFonts w:eastAsia="宋体" w:cs="Times New Roman"/>
      <w:kern w:val="2"/>
      <w:sz w:val="24"/>
      <w:szCs w:val="20"/>
    </w:rPr>
  </w:style>
  <w:style w:type="paragraph" w:customStyle="1" w:styleId="aff0">
    <w:name w:val="杨昂超式样黑体主"/>
    <w:basedOn w:val="a0"/>
    <w:qFormat/>
    <w:rsid w:val="005D50DA"/>
    <w:pPr>
      <w:widowControl w:val="0"/>
      <w:adjustRightInd/>
      <w:snapToGrid/>
      <w:spacing w:after="0"/>
      <w:jc w:val="both"/>
    </w:pPr>
    <w:rPr>
      <w:rFonts w:ascii="方正黑体简体" w:eastAsia="方正黑体简体" w:hAnsi="Calibri" w:cs="Times New Roman"/>
      <w:kern w:val="2"/>
      <w:sz w:val="24"/>
      <w:szCs w:val="24"/>
    </w:rPr>
  </w:style>
  <w:style w:type="character" w:customStyle="1" w:styleId="font21">
    <w:name w:val="font21"/>
    <w:qFormat/>
    <w:rsid w:val="005D50DA"/>
    <w:rPr>
      <w:rFonts w:ascii="Times New Roman" w:hAnsi="Times New Roman" w:cs="Times New Roman" w:hint="default"/>
      <w:color w:val="000000"/>
      <w:sz w:val="20"/>
      <w:szCs w:val="20"/>
      <w:u w:val="none"/>
    </w:rPr>
  </w:style>
  <w:style w:type="character" w:customStyle="1" w:styleId="aff1">
    <w:name w:val="批注文字 字符"/>
    <w:uiPriority w:val="99"/>
    <w:qFormat/>
    <w:rsid w:val="005D50DA"/>
    <w:rPr>
      <w:rFonts w:eastAsia="宋体"/>
      <w:kern w:val="2"/>
      <w:sz w:val="21"/>
      <w:szCs w:val="24"/>
      <w:lang w:val="en-US" w:eastAsia="zh-CN" w:bidi="ar-SA"/>
    </w:rPr>
  </w:style>
  <w:style w:type="character" w:customStyle="1" w:styleId="text2">
    <w:name w:val="text2"/>
    <w:basedOn w:val="a1"/>
    <w:qFormat/>
    <w:rsid w:val="005D50DA"/>
  </w:style>
  <w:style w:type="character" w:customStyle="1" w:styleId="CharChar17">
    <w:name w:val="Char Char17"/>
    <w:qFormat/>
    <w:rsid w:val="005D50DA"/>
    <w:rPr>
      <w:rFonts w:ascii="Arial" w:eastAsia="黑体" w:hAnsi="Arial"/>
      <w:b/>
      <w:bCs/>
      <w:kern w:val="2"/>
      <w:sz w:val="32"/>
      <w:szCs w:val="32"/>
      <w:lang w:val="en-US" w:eastAsia="zh-CN" w:bidi="ar-SA"/>
    </w:rPr>
  </w:style>
  <w:style w:type="character" w:customStyle="1" w:styleId="16">
    <w:name w:val="批注文字 字符1"/>
    <w:qFormat/>
    <w:rsid w:val="005D50DA"/>
    <w:rPr>
      <w:rFonts w:eastAsia="宋体"/>
      <w:kern w:val="2"/>
      <w:sz w:val="21"/>
      <w:szCs w:val="24"/>
      <w:lang w:val="en-US" w:eastAsia="zh-CN" w:bidi="ar-SA"/>
    </w:rPr>
  </w:style>
  <w:style w:type="character" w:customStyle="1" w:styleId="aff2">
    <w:name w:val="列出段落 字符"/>
    <w:uiPriority w:val="34"/>
    <w:qFormat/>
    <w:locked/>
    <w:rsid w:val="005D50DA"/>
    <w:rPr>
      <w:kern w:val="2"/>
      <w:sz w:val="21"/>
      <w:szCs w:val="24"/>
    </w:rPr>
  </w:style>
  <w:style w:type="character" w:customStyle="1" w:styleId="Chare">
    <w:name w:val="正文文本样式 Char"/>
    <w:link w:val="aff"/>
    <w:qFormat/>
    <w:rsid w:val="005D50DA"/>
    <w:rPr>
      <w:rFonts w:ascii="Calibri" w:eastAsia="宋体" w:hAnsi="Calibri" w:cs="宋体"/>
      <w:kern w:val="2"/>
      <w:sz w:val="24"/>
      <w:szCs w:val="20"/>
    </w:rPr>
  </w:style>
  <w:style w:type="character" w:customStyle="1" w:styleId="font141">
    <w:name w:val="font141"/>
    <w:qFormat/>
    <w:rsid w:val="005D50DA"/>
    <w:rPr>
      <w:rFonts w:ascii="宋体" w:eastAsia="宋体" w:hAnsi="宋体" w:cs="宋体" w:hint="eastAsia"/>
      <w:color w:val="000000"/>
      <w:sz w:val="22"/>
      <w:szCs w:val="22"/>
      <w:u w:val="none"/>
    </w:rPr>
  </w:style>
  <w:style w:type="character" w:customStyle="1" w:styleId="Chard">
    <w:name w:val="正文段 Char"/>
    <w:link w:val="afe"/>
    <w:qFormat/>
    <w:rsid w:val="005D50DA"/>
    <w:rPr>
      <w:rFonts w:ascii="宋体" w:eastAsia="宋体" w:hAnsi="宋体" w:cs="Times New Roman"/>
      <w:sz w:val="28"/>
      <w:szCs w:val="24"/>
    </w:rPr>
  </w:style>
  <w:style w:type="character" w:customStyle="1" w:styleId="Char1">
    <w:name w:val="列出段落 Char"/>
    <w:link w:val="a8"/>
    <w:uiPriority w:val="34"/>
    <w:qFormat/>
    <w:locked/>
    <w:rsid w:val="005D50DA"/>
    <w:rPr>
      <w:rFonts w:ascii="Tahoma" w:hAnsi="Tahoma"/>
    </w:rPr>
  </w:style>
  <w:style w:type="character" w:customStyle="1" w:styleId="Charf0">
    <w:name w:val="子系统 Char"/>
    <w:qFormat/>
    <w:rsid w:val="005D50DA"/>
    <w:rPr>
      <w:rFonts w:eastAsia="黑体"/>
      <w:kern w:val="2"/>
      <w:sz w:val="28"/>
      <w:lang w:val="en-US" w:eastAsia="zh-CN" w:bidi="ar-SA"/>
    </w:rPr>
  </w:style>
  <w:style w:type="character" w:customStyle="1" w:styleId="Charc">
    <w:name w:val="文字 Char"/>
    <w:link w:val="afd"/>
    <w:qFormat/>
    <w:locked/>
    <w:rsid w:val="005D50DA"/>
    <w:rPr>
      <w:rFonts w:ascii="宋体" w:eastAsia="宋体" w:hAnsi="宋体" w:cs="Times New Roman"/>
      <w:sz w:val="28"/>
      <w:szCs w:val="20"/>
    </w:rPr>
  </w:style>
  <w:style w:type="character" w:customStyle="1" w:styleId="p141">
    <w:name w:val="p141"/>
    <w:qFormat/>
    <w:rsid w:val="005D50DA"/>
    <w:rPr>
      <w:sz w:val="21"/>
      <w:szCs w:val="21"/>
    </w:rPr>
  </w:style>
  <w:style w:type="character" w:customStyle="1" w:styleId="CharChar1">
    <w:name w:val="Char Char1"/>
    <w:qFormat/>
    <w:rsid w:val="005D50DA"/>
    <w:rPr>
      <w:rFonts w:ascii="宋体" w:eastAsia="宋体" w:hAnsi="Courier New"/>
      <w:kern w:val="2"/>
      <w:sz w:val="21"/>
      <w:lang w:val="en-US" w:eastAsia="zh-CN" w:bidi="ar-SA"/>
    </w:rPr>
  </w:style>
  <w:style w:type="character" w:customStyle="1" w:styleId="font11">
    <w:name w:val="font11"/>
    <w:qFormat/>
    <w:rsid w:val="005D50DA"/>
    <w:rPr>
      <w:rFonts w:ascii="宋体" w:eastAsia="宋体" w:hAnsi="宋体" w:cs="宋体" w:hint="eastAsia"/>
      <w:color w:val="000000"/>
      <w:sz w:val="18"/>
      <w:szCs w:val="18"/>
      <w:u w:val="none"/>
    </w:rPr>
  </w:style>
  <w:style w:type="character" w:customStyle="1" w:styleId="Char2">
    <w:name w:val="正文缩进 Char"/>
    <w:link w:val="aa"/>
    <w:qFormat/>
    <w:rsid w:val="005D50DA"/>
    <w:rPr>
      <w:rFonts w:ascii="Calibri" w:eastAsia="宋体" w:hAnsi="Calibri" w:cs="Times New Roman"/>
      <w:kern w:val="2"/>
      <w:sz w:val="21"/>
      <w:szCs w:val="24"/>
    </w:rPr>
  </w:style>
  <w:style w:type="table" w:customStyle="1" w:styleId="17">
    <w:name w:val="网格型1"/>
    <w:basedOn w:val="a2"/>
    <w:uiPriority w:val="59"/>
    <w:qFormat/>
    <w:rsid w:val="005D5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1250</Words>
  <Characters>7128</Characters>
  <Application>Microsoft Office Word</Application>
  <DocSecurity>0</DocSecurity>
  <Lines>59</Lines>
  <Paragraphs>16</Paragraphs>
  <ScaleCrop>false</ScaleCrop>
  <Company/>
  <LinksUpToDate>false</LinksUpToDate>
  <CharactersWithSpaces>8362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邱实</cp:lastModifiedBy>
  <cp:revision>2</cp:revision>
  <dcterms:created xsi:type="dcterms:W3CDTF">2008-09-11T17:20:00Z</dcterms:created>
  <dcterms:modified xsi:type="dcterms:W3CDTF">2020-11-20T02:55:00Z</dcterms:modified>
</cp:coreProperties>
</file>